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napToGrid w:val="0"/>
        <w:spacing w:before="0" w:beforeAutospacing="0" w:after="0" w:afterAutospacing="0" w:line="640" w:lineRule="exact"/>
        <w:jc w:val="center"/>
        <w:textAlignment w:val="baseline"/>
        <w:rPr>
          <w:rStyle w:val="0"/>
          <w:rFonts w:ascii="宋体" w:eastAsia="方正小标宋简体" w:cs="方正小标宋简体" w:hAnsi="宋体"/>
          <w:b w:val="0"/>
          <w:bCs/>
          <w:i w:val="0"/>
          <w:caps w:val="0"/>
          <w:smallCaps w:val="0"/>
          <w:color w:val="000000"/>
          <w:spacing w:val="0"/>
          <w:w w:val="100"/>
          <w:kern w:val="2"/>
          <w:sz w:val="44"/>
          <w:szCs w:val="44"/>
          <w:lang w:val="en-US" w:eastAsia="zh-CN" w:bidi="ar-SA"/>
        </w:rPr>
      </w:pPr>
    </w:p>
    <w:p>
      <w:pPr>
        <w:pStyle w:val="19"/>
        <w:snapToGrid w:val="0"/>
        <w:spacing w:before="0" w:beforeAutospacing="0" w:after="0" w:afterAutospacing="0" w:line="640" w:lineRule="exact"/>
        <w:jc w:val="center"/>
        <w:textAlignment w:val="baseline"/>
        <w:rPr>
          <w:rStyle w:val="0"/>
          <w:rFonts w:ascii="方正小标宋_GBK" w:eastAsia="方正小标宋_GBK" w:cs="方正小标宋_GBK" w:hint="eastAsia"/>
          <w:b w:val="0"/>
          <w:bCs/>
          <w:i w:val="0"/>
          <w:caps w:val="0"/>
          <w:smallCaps w:val="0"/>
          <w:color w:val="000000"/>
          <w:spacing w:val="0"/>
          <w:w w:val="100"/>
          <w:kern w:val="2"/>
          <w:sz w:val="44"/>
          <w:szCs w:val="44"/>
          <w:lang w:val="en-US" w:eastAsia="zh-CN" w:bidi="ar-SA"/>
        </w:rPr>
      </w:pPr>
      <w:r>
        <w:rPr>
          <w:rStyle w:val="0"/>
          <w:rFonts w:ascii="方正小标宋_GBK" w:eastAsia="方正小标宋_GBK" w:cs="方正小标宋_GBK" w:hint="eastAsia"/>
          <w:b w:val="0"/>
          <w:bCs/>
          <w:i w:val="0"/>
          <w:caps w:val="0"/>
          <w:smallCaps w:val="0"/>
          <w:color w:val="000000"/>
          <w:spacing w:val="0"/>
          <w:w w:val="100"/>
          <w:kern w:val="2"/>
          <w:sz w:val="44"/>
          <w:szCs w:val="44"/>
          <w:lang w:val="en-US" w:eastAsia="zh-CN" w:bidi="ar-SA"/>
        </w:rPr>
        <w:t>2023年工业和信息化高质量发展</w:t>
      </w:r>
    </w:p>
    <w:p>
      <w:pPr>
        <w:pStyle w:val="19"/>
        <w:snapToGrid w:val="0"/>
        <w:spacing w:before="0" w:beforeAutospacing="0" w:after="0" w:afterAutospacing="0" w:line="640" w:lineRule="exact"/>
        <w:jc w:val="center"/>
        <w:textAlignment w:val="baseline"/>
        <w:rPr>
          <w:rStyle w:val="0"/>
          <w:rFonts w:ascii="方正小标宋_GBK" w:eastAsia="方正小标宋_GBK" w:cs="方正小标宋_GBK" w:hint="eastAsia"/>
          <w:b w:val="0"/>
          <w:bCs/>
          <w:i w:val="0"/>
          <w:caps w:val="0"/>
          <w:smallCaps w:val="0"/>
          <w:color w:val="000000"/>
          <w:spacing w:val="0"/>
          <w:w w:val="100"/>
          <w:kern w:val="2"/>
          <w:sz w:val="44"/>
          <w:szCs w:val="44"/>
          <w:lang w:val="en-US" w:eastAsia="zh-CN" w:bidi="ar-SA"/>
        </w:rPr>
      </w:pPr>
      <w:r>
        <w:rPr>
          <w:rStyle w:val="0"/>
          <w:rFonts w:ascii="方正小标宋_GBK" w:eastAsia="方正小标宋_GBK" w:cs="方正小标宋_GBK" w:hint="eastAsia"/>
          <w:b w:val="0"/>
          <w:bCs/>
          <w:i w:val="0"/>
          <w:caps w:val="0"/>
          <w:smallCaps w:val="0"/>
          <w:color w:val="000000"/>
          <w:spacing w:val="0"/>
          <w:w w:val="100"/>
          <w:kern w:val="2"/>
          <w:sz w:val="44"/>
          <w:szCs w:val="44"/>
          <w:lang w:val="en-US" w:eastAsia="zh-CN" w:bidi="ar-SA"/>
        </w:rPr>
        <w:t>专项资金提前安排因素法（四季度增量</w:t>
      </w:r>
    </w:p>
    <w:p>
      <w:pPr>
        <w:pStyle w:val="19"/>
        <w:snapToGrid w:val="0"/>
        <w:spacing w:before="0" w:beforeAutospacing="0" w:after="0" w:afterAutospacing="0" w:line="640" w:lineRule="exact"/>
        <w:jc w:val="center"/>
        <w:textAlignment w:val="baseline"/>
        <w:rPr>
          <w:rStyle w:val="0"/>
          <w:rFonts w:ascii="方正小标宋_GBK" w:eastAsia="方正小标宋_GBK" w:cs="方正小标宋_GBK" w:hint="eastAsia"/>
          <w:b w:val="0"/>
          <w:bCs/>
          <w:i w:val="0"/>
          <w:caps w:val="0"/>
          <w:smallCaps w:val="0"/>
          <w:color w:val="000000"/>
          <w:spacing w:val="0"/>
          <w:w w:val="100"/>
          <w:kern w:val="2"/>
          <w:sz w:val="44"/>
          <w:szCs w:val="44"/>
          <w:lang w:val="en-US" w:eastAsia="zh-CN" w:bidi="ar-SA"/>
        </w:rPr>
      </w:pPr>
      <w:r>
        <w:rPr>
          <w:rStyle w:val="0"/>
          <w:rFonts w:ascii="方正小标宋_GBK" w:eastAsia="方正小标宋_GBK" w:cs="方正小标宋_GBK" w:hint="eastAsia"/>
          <w:b w:val="0"/>
          <w:bCs/>
          <w:i w:val="0"/>
          <w:caps w:val="0"/>
          <w:smallCaps w:val="0"/>
          <w:color w:val="000000"/>
          <w:spacing w:val="0"/>
          <w:w w:val="100"/>
          <w:kern w:val="2"/>
          <w:sz w:val="44"/>
          <w:szCs w:val="44"/>
          <w:lang w:val="en-US" w:eastAsia="zh-CN" w:bidi="ar-SA"/>
        </w:rPr>
        <w:t>奖补部分）分配方案</w:t>
      </w:r>
    </w:p>
    <w:p>
      <w:pPr>
        <w:pStyle w:val="18"/>
        <w:snapToGrid w:val="0"/>
        <w:spacing w:before="0" w:beforeAutospacing="0" w:after="0" w:afterAutospacing="0" w:line="640" w:lineRule="exact"/>
        <w:jc w:val="left"/>
        <w:textAlignment w:val="baseline"/>
        <w:rPr>
          <w:rStyle w:val="0"/>
          <w:rFonts w:ascii="宋体" w:eastAsia="方正小标宋_GBK" w:cs="Times New Roman" w:hAnsi="宋体"/>
          <w:b w:val="0"/>
          <w:bCs/>
          <w:i w:val="0"/>
          <w:caps w:val="0"/>
          <w:smallCaps w:val="0"/>
          <w:color w:val="000000"/>
          <w:spacing w:val="0"/>
          <w:w w:val="100"/>
          <w:kern w:val="2"/>
          <w:sz w:val="44"/>
          <w:szCs w:val="44"/>
          <w:lang w:val="en-US" w:eastAsia="zh-CN" w:bidi="ar-SA"/>
        </w:rPr>
      </w:pPr>
    </w:p>
    <w:p>
      <w:pPr>
        <w:pStyle w:val="18"/>
        <w:snapToGrid w:val="0"/>
        <w:spacing w:before="0" w:beforeAutospacing="0" w:after="0" w:afterAutospacing="0" w:line="640" w:lineRule="exact"/>
        <w:ind w:firstLineChars="200" w:firstLine="640"/>
        <w:jc w:val="left"/>
        <w:textAlignment w:val="baseline"/>
        <w:rPr>
          <w:rStyle w:val="0"/>
          <w:rFonts w:ascii="仿宋_GB2312" w:eastAsia="仿宋_GB2312" w:cs="仿宋_GB2312" w:hint="eastAsia"/>
          <w:b w:val="0"/>
          <w:i w:val="0"/>
          <w:caps w:val="0"/>
          <w:smallCaps w:val="0"/>
          <w:color w:val="000000"/>
          <w:spacing w:val="0"/>
          <w:w w:val="100"/>
          <w:kern w:val="2"/>
          <w:sz w:val="32"/>
          <w:szCs w:val="32"/>
          <w:lang w:val="en-US" w:eastAsia="zh-CN" w:bidi="ar-SA"/>
        </w:rPr>
      </w:pPr>
      <w:bookmarkStart w:id="0" w:name="_GoBack"/>
      <w:bookmarkEnd w:id="0"/>
      <w:r>
        <w:rPr>
          <w:rFonts w:ascii="仿宋_GB2312" w:eastAsia="仿宋_GB2312" w:cs="仿宋_GB2312" w:hint="eastAsia"/>
          <w:sz w:val="32"/>
          <w:szCs w:val="40"/>
          <w:lang w:val="en-US" w:eastAsia="zh-CN"/>
        </w:rPr>
        <w:t>为进一步巩固工业经济稳定向好态势，落实省政府《关于进一步稳定经济增长全力做好全年收官若干措施的通知》（吉政办明电〔2022〕34号）要求，拟</w:t>
      </w:r>
      <w:r>
        <w:rPr>
          <w:rStyle w:val="0"/>
          <w:rFonts w:ascii="仿宋_GB2312" w:eastAsia="仿宋_GB2312" w:cs="仿宋_GB2312" w:hint="eastAsia"/>
          <w:b w:val="0"/>
          <w:i w:val="0"/>
          <w:caps w:val="0"/>
          <w:smallCaps w:val="0"/>
          <w:color w:val="000000"/>
          <w:spacing w:val="0"/>
          <w:w w:val="100"/>
          <w:kern w:val="2"/>
          <w:sz w:val="32"/>
          <w:szCs w:val="32"/>
          <w:lang w:val="en-US" w:eastAsia="zh-CN" w:bidi="ar-SA"/>
        </w:rPr>
        <w:t>从2023年工业和信息化高质量发展专项中安排1000万元，对2022年四季度重点增量工业企业予以奖补。我厅对符合政策条件的企业情况进行了认真梳理，经审核测算拟定了2023年工业和信息化高质量发展专项资金提前安排四季度增量奖补部分的因素法分配方案。具体如下：</w:t>
      </w:r>
    </w:p>
    <w:p>
      <w:pPr>
        <w:pStyle w:val="20"/>
        <w:snapToGrid w:val="0"/>
        <w:spacing w:before="0" w:beforeAutospacing="0" w:after="0" w:afterAutospacing="0" w:line="640" w:lineRule="exact"/>
        <w:ind w:left="0" w:firstLineChars="200" w:firstLine="640"/>
        <w:jc w:val="both"/>
        <w:textAlignment w:val="baseline"/>
        <w:rPr>
          <w:rStyle w:val="0"/>
          <w:rFonts w:ascii="宋体" w:eastAsia="黑体" w:hAnsi="宋体" w:hint="eastAsia"/>
          <w:b w:val="0"/>
          <w:i w:val="0"/>
          <w:caps w:val="0"/>
          <w:smallCaps w:val="0"/>
          <w:color w:val="000000"/>
          <w:spacing w:val="0"/>
          <w:w w:val="100"/>
          <w:kern w:val="2"/>
          <w:sz w:val="32"/>
          <w:szCs w:val="32"/>
          <w:lang w:val="en-US" w:eastAsia="zh-CN" w:bidi="ar-SA"/>
        </w:rPr>
      </w:pPr>
      <w:r>
        <w:rPr>
          <w:rStyle w:val="0"/>
          <w:rFonts w:ascii="宋体" w:eastAsia="黑体" w:hAnsi="宋体" w:hint="eastAsia"/>
          <w:b w:val="0"/>
          <w:i w:val="0"/>
          <w:caps w:val="0"/>
          <w:smallCaps w:val="0"/>
          <w:color w:val="000000"/>
          <w:spacing w:val="0"/>
          <w:w w:val="100"/>
          <w:kern w:val="2"/>
          <w:sz w:val="32"/>
          <w:szCs w:val="32"/>
          <w:lang w:val="en-US" w:eastAsia="zh-CN" w:bidi="ar-SA"/>
        </w:rPr>
        <w:t>一、总体原则</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聚焦省委省政府“止跌、回升、增长”目标，鼓励重点工业企业四季度进一步扩大生产，巩固持续开展的工业领域百日攻坚成果，对2022年四季度符合政策支持条件的企业给予专项资金奖补。为有序推动近期疫情影响较重的松原市企业复工复产和稳产满产，对松原市符合条件企业予以倾斜支持。</w:t>
      </w:r>
    </w:p>
    <w:p>
      <w:pPr>
        <w:spacing w:line="240" w:lineRule="auto"/>
        <w:ind w:firstLineChars="200" w:firstLine="640"/>
        <w:jc w:val="left"/>
        <w:rPr>
          <w:rStyle w:val="0"/>
          <w:rFonts w:ascii="宋体" w:eastAsia="黑体" w:hAnsi="宋体"/>
          <w:b w:val="0"/>
          <w:i w:val="0"/>
          <w:caps w:val="0"/>
          <w:smallCaps w:val="0"/>
          <w:color w:val="000000"/>
          <w:spacing w:val="0"/>
          <w:w w:val="100"/>
          <w:kern w:val="2"/>
          <w:sz w:val="32"/>
          <w:szCs w:val="32"/>
          <w:lang w:val="en-US" w:eastAsia="zh-CN" w:bidi="ar-SA"/>
        </w:rPr>
      </w:pPr>
      <w:r>
        <w:rPr>
          <w:rStyle w:val="0"/>
          <w:rFonts w:ascii="宋体" w:eastAsia="黑体" w:hAnsi="宋体" w:hint="eastAsia"/>
          <w:b w:val="0"/>
          <w:i w:val="0"/>
          <w:caps w:val="0"/>
          <w:smallCaps w:val="0"/>
          <w:color w:val="000000"/>
          <w:spacing w:val="0"/>
          <w:w w:val="100"/>
          <w:kern w:val="2"/>
          <w:sz w:val="32"/>
          <w:szCs w:val="32"/>
          <w:lang w:val="en-US" w:eastAsia="zh-CN" w:bidi="ar-SA"/>
        </w:rPr>
        <w:t>二、</w:t>
      </w:r>
      <w:r>
        <w:rPr>
          <w:rStyle w:val="0"/>
          <w:rFonts w:ascii="宋体" w:eastAsia="黑体" w:hAnsi="宋体"/>
          <w:b w:val="0"/>
          <w:i w:val="0"/>
          <w:caps w:val="0"/>
          <w:smallCaps w:val="0"/>
          <w:color w:val="000000"/>
          <w:spacing w:val="0"/>
          <w:w w:val="100"/>
          <w:kern w:val="2"/>
          <w:sz w:val="32"/>
          <w:szCs w:val="32"/>
          <w:lang w:val="en-US" w:eastAsia="zh-CN" w:bidi="ar-SA"/>
        </w:rPr>
        <w:t>支持方向</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鼓励重点工业企业稳产满产。对四季度产值同比增长10%以上且净增量超过2000万元以上工业企业，给予省级专项资金支持。企业可统筹用于推动在2022年四季度及2023年一季度等增加排产计划，提高生产效率，扩大生产规模。</w:t>
      </w:r>
    </w:p>
    <w:p>
      <w:pPr>
        <w:pStyle w:val="20"/>
        <w:snapToGrid w:val="0"/>
        <w:spacing w:before="0" w:beforeAutospacing="0" w:after="0" w:afterAutospacing="0" w:line="640" w:lineRule="exact"/>
        <w:ind w:firstLine="640"/>
        <w:jc w:val="both"/>
        <w:textAlignment w:val="baseline"/>
        <w:rPr>
          <w:rStyle w:val="0"/>
          <w:rFonts w:ascii="宋体" w:eastAsia="黑体" w:hAnsi="宋体"/>
          <w:b w:val="0"/>
          <w:i w:val="0"/>
          <w:caps w:val="0"/>
          <w:smallCaps w:val="0"/>
          <w:color w:val="000000"/>
          <w:spacing w:val="0"/>
          <w:w w:val="100"/>
          <w:kern w:val="2"/>
          <w:sz w:val="32"/>
          <w:szCs w:val="32"/>
          <w:lang w:val="en-US" w:eastAsia="zh-CN" w:bidi="ar-SA"/>
        </w:rPr>
      </w:pPr>
      <w:r>
        <w:rPr>
          <w:rStyle w:val="0"/>
          <w:rFonts w:ascii="宋体" w:eastAsia="黑体" w:hAnsi="宋体" w:hint="eastAsia"/>
          <w:b w:val="0"/>
          <w:i w:val="0"/>
          <w:caps w:val="0"/>
          <w:smallCaps w:val="0"/>
          <w:color w:val="000000"/>
          <w:spacing w:val="0"/>
          <w:w w:val="100"/>
          <w:kern w:val="2"/>
          <w:sz w:val="32"/>
          <w:szCs w:val="32"/>
          <w:lang w:val="en-US" w:eastAsia="zh-CN" w:bidi="ar-SA"/>
        </w:rPr>
        <w:t>三</w:t>
      </w:r>
      <w:r>
        <w:rPr>
          <w:rStyle w:val="0"/>
          <w:rFonts w:ascii="宋体" w:eastAsia="黑体" w:hAnsi="宋体"/>
          <w:b w:val="0"/>
          <w:i w:val="0"/>
          <w:caps w:val="0"/>
          <w:smallCaps w:val="0"/>
          <w:color w:val="000000"/>
          <w:spacing w:val="0"/>
          <w:w w:val="100"/>
          <w:kern w:val="2"/>
          <w:sz w:val="32"/>
          <w:szCs w:val="32"/>
          <w:lang w:val="en-US" w:eastAsia="zh-CN" w:bidi="ar-SA"/>
        </w:rPr>
        <w:t>、资金分配测算</w:t>
      </w:r>
    </w:p>
    <w:p>
      <w:pPr>
        <w:pStyle w:val="21"/>
        <w:snapToGrid w:val="0"/>
        <w:spacing w:before="0" w:beforeAutospacing="0" w:after="0" w:afterAutospacing="0" w:line="640" w:lineRule="exact"/>
        <w:ind w:firstLine="640"/>
        <w:jc w:val="both"/>
        <w:textAlignment w:val="baseline"/>
        <w:rPr>
          <w:rStyle w:val="0"/>
          <w:rFonts w:ascii="宋体" w:eastAsia="楷体" w:hAnsi="宋体"/>
          <w:b w:val="0"/>
          <w:i w:val="0"/>
          <w:caps w:val="0"/>
          <w:smallCaps w:val="0"/>
          <w:color w:val="000000"/>
          <w:spacing w:val="0"/>
          <w:w w:val="100"/>
          <w:kern w:val="2"/>
          <w:sz w:val="32"/>
          <w:szCs w:val="32"/>
          <w:lang w:val="en-US" w:eastAsia="zh-CN" w:bidi="ar-SA"/>
        </w:rPr>
      </w:pPr>
      <w:r>
        <w:rPr>
          <w:rStyle w:val="0"/>
          <w:rFonts w:ascii="宋体" w:eastAsia="楷体" w:hAnsi="宋体"/>
          <w:b w:val="0"/>
          <w:i w:val="0"/>
          <w:caps w:val="0"/>
          <w:smallCaps w:val="0"/>
          <w:color w:val="000000"/>
          <w:spacing w:val="0"/>
          <w:w w:val="100"/>
          <w:kern w:val="2"/>
          <w:sz w:val="32"/>
          <w:szCs w:val="32"/>
          <w:lang w:val="en-US" w:eastAsia="zh-CN" w:bidi="ar-SA"/>
        </w:rPr>
        <w:t>（一）分配因素选取及数据来源</w:t>
      </w:r>
      <w:r>
        <w:rPr>
          <w:rStyle w:val="0"/>
          <w:rFonts w:ascii="宋体" w:eastAsia="仿宋_GB2312" w:hAnsi="宋体"/>
          <w:b w:val="0"/>
          <w:i w:val="0"/>
          <w:caps w:val="0"/>
          <w:smallCaps w:val="0"/>
          <w:color w:val="000000"/>
          <w:spacing w:val="0"/>
          <w:w w:val="100"/>
          <w:kern w:val="2"/>
          <w:sz w:val="32"/>
          <w:szCs w:val="32"/>
          <w:lang w:val="en-US" w:eastAsia="zh-CN" w:bidi="ar-SA"/>
        </w:rPr>
        <w:t>。</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1.增量企业户数因素。选取各地区上报的2022年四季度产值增量2000万以上、且同比增速高于10%的企业个数做为分配因素，按照每户企业2万元给予各地区增量企业补助。为支持受疫情影响较重的松原市工业企业快速复工复产稳产满产，对松原市达标企业给予优先倾斜支持，按照每户5万元标准给予补助。</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2.产值增量因素。选取各地区上报的2022年四季度产值增量2000万以上、且同比增速高于10%的企业产值增量，做为分配因素确定各地区奖补资金分配额度。</w:t>
      </w:r>
    </w:p>
    <w:p>
      <w:pPr>
        <w:pStyle w:val="20"/>
        <w:snapToGrid w:val="0"/>
        <w:spacing w:before="0" w:beforeAutospacing="0" w:after="0" w:afterAutospacing="0" w:line="640" w:lineRule="exact"/>
        <w:ind w:firstLine="640"/>
        <w:jc w:val="both"/>
        <w:textAlignment w:val="baseline"/>
        <w:rPr>
          <w:rStyle w:val="0"/>
          <w:rFonts w:ascii="宋体" w:eastAsia="楷体" w:hAnsi="宋体"/>
          <w:b w:val="0"/>
          <w:i w:val="0"/>
          <w:caps w:val="0"/>
          <w:smallCaps w:val="0"/>
          <w:color w:val="000000"/>
          <w:spacing w:val="0"/>
          <w:w w:val="100"/>
          <w:kern w:val="2"/>
          <w:sz w:val="32"/>
          <w:szCs w:val="32"/>
          <w:lang w:val="en-US" w:eastAsia="zh-CN" w:bidi="ar-SA"/>
        </w:rPr>
      </w:pPr>
      <w:r>
        <w:rPr>
          <w:rStyle w:val="0"/>
          <w:rFonts w:ascii="宋体" w:eastAsia="楷体" w:hAnsi="宋体"/>
          <w:b w:val="0"/>
          <w:i w:val="0"/>
          <w:caps w:val="0"/>
          <w:smallCaps w:val="0"/>
          <w:color w:val="000000"/>
          <w:spacing w:val="0"/>
          <w:w w:val="100"/>
          <w:kern w:val="2"/>
          <w:sz w:val="32"/>
          <w:szCs w:val="32"/>
          <w:lang w:val="en-US" w:eastAsia="zh-CN" w:bidi="ar-SA"/>
        </w:rPr>
        <w:t>（二）分配及测算依据。</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sz w:val="32"/>
          <w:szCs w:val="40"/>
          <w:lang w:val="en-US" w:eastAsia="zh-CN"/>
        </w:rPr>
      </w:pPr>
      <w:r>
        <w:rPr>
          <w:rFonts w:ascii="仿宋_GB2312" w:eastAsia="仿宋_GB2312" w:cs="仿宋_GB2312" w:hint="eastAsia"/>
          <w:sz w:val="32"/>
          <w:szCs w:val="40"/>
          <w:lang w:val="en-US" w:eastAsia="zh-CN"/>
        </w:rPr>
        <w:t>N1=X+Y</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N1：拟分配市（州）、县（市）专项奖补资金总额度</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X：根据增量企业户数因素安排市（州）、县（市）的补助资额度</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Y：根据产值增量因素安排市（州）、县（市）专项奖补资金额度</w:t>
      </w:r>
    </w:p>
    <w:p>
      <w:pPr>
        <w:pStyle w:val="15"/>
        <w:snapToGrid w:val="0"/>
        <w:spacing w:before="0" w:beforeAutospacing="0" w:after="0" w:afterAutospacing="0" w:line="640" w:lineRule="exact"/>
        <w:ind w:firstLineChars="200" w:firstLine="640"/>
        <w:jc w:val="both"/>
        <w:textAlignment w:val="baseline"/>
        <w:rPr>
          <w:rStyle w:val="0"/>
          <w:rFonts w:ascii="宋体" w:eastAsia="黑体" w:hAnsi="宋体"/>
          <w:b w:val="0"/>
          <w:i w:val="0"/>
          <w:caps w:val="0"/>
          <w:smallCaps w:val="0"/>
          <w:color w:val="000000"/>
          <w:spacing w:val="0"/>
          <w:w w:val="100"/>
          <w:kern w:val="0"/>
          <w:sz w:val="32"/>
          <w:szCs w:val="32"/>
          <w:lang w:val="en-US" w:eastAsia="zh-CN" w:bidi="ar-SA"/>
        </w:rPr>
      </w:pPr>
      <w:r>
        <w:rPr>
          <w:rStyle w:val="0"/>
          <w:rFonts w:ascii="宋体" w:eastAsia="黑体" w:hAnsi="宋体" w:hint="eastAsia"/>
          <w:b w:val="0"/>
          <w:i w:val="0"/>
          <w:caps w:val="0"/>
          <w:smallCaps w:val="0"/>
          <w:color w:val="000000"/>
          <w:spacing w:val="0"/>
          <w:w w:val="100"/>
          <w:kern w:val="0"/>
          <w:sz w:val="32"/>
          <w:szCs w:val="32"/>
          <w:lang w:val="en-US" w:eastAsia="zh-CN" w:bidi="ar-SA"/>
        </w:rPr>
        <w:t>四</w:t>
      </w:r>
      <w:r>
        <w:rPr>
          <w:rStyle w:val="0"/>
          <w:rFonts w:ascii="宋体" w:eastAsia="黑体" w:hAnsi="宋体"/>
          <w:b w:val="0"/>
          <w:i w:val="0"/>
          <w:caps w:val="0"/>
          <w:smallCaps w:val="0"/>
          <w:color w:val="000000"/>
          <w:spacing w:val="0"/>
          <w:w w:val="100"/>
          <w:kern w:val="0"/>
          <w:sz w:val="32"/>
          <w:szCs w:val="32"/>
          <w:lang w:val="en-US" w:eastAsia="zh-CN" w:bidi="ar-SA"/>
        </w:rPr>
        <w:t>、确保资金安全运行</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各级主管部门要严格执行专项资金使用规定，严禁挪用，要及时足额将资金拨付至企业。在省财政完成资金拨付后，各市（州）、县（市）要按照专项资金管理办法要求尽快履行相关程序，确保专项资金及时拨付。并于省财政资金拨付到位60个工作日内将资金使用情况等报省财政厅、省工信厅备案。</w:t>
      </w:r>
    </w:p>
    <w:p>
      <w:pPr>
        <w:pStyle w:val="18"/>
        <w:snapToGrid w:val="0"/>
        <w:spacing w:before="0" w:beforeAutospacing="0" w:after="0" w:afterAutospacing="0" w:line="640" w:lineRule="exact"/>
        <w:ind w:firstLineChars="200" w:firstLine="640"/>
        <w:jc w:val="left"/>
        <w:textAlignment w:val="baseline"/>
        <w:rPr>
          <w:rFonts w:ascii="仿宋_GB2312" w:eastAsia="仿宋_GB2312" w:cs="仿宋_GB2312" w:hint="eastAsia"/>
          <w:sz w:val="32"/>
          <w:szCs w:val="40"/>
          <w:lang w:val="en-US" w:eastAsia="zh-CN"/>
        </w:rPr>
      </w:pPr>
      <w:r>
        <w:rPr>
          <w:rFonts w:ascii="仿宋_GB2312" w:eastAsia="仿宋_GB2312" w:cs="仿宋_GB2312" w:hint="eastAsia"/>
          <w:sz w:val="32"/>
          <w:szCs w:val="40"/>
          <w:lang w:val="en-US" w:eastAsia="zh-CN"/>
        </w:rPr>
        <w:t>附表：2022年四季度增量企业奖补资金汇总表</w:t>
      </w:r>
    </w:p>
    <w:p>
      <w:pPr>
        <w:pStyle w:val="18"/>
        <w:widowControl/>
        <w:snapToGrid w:val="0"/>
        <w:spacing w:before="0" w:beforeAutospacing="0" w:after="0" w:afterAutospacing="0" w:line="240" w:lineRule="auto"/>
        <w:jc w:val="left"/>
        <w:textAlignment w:val="baseline"/>
        <w:rPr>
          <w:rStyle w:val="0"/>
          <w:rFonts w:ascii="宋体" w:eastAsia="仿宋_GB2312" w:hAnsi="宋体"/>
          <w:b w:val="0"/>
          <w:i w:val="0"/>
          <w:caps w:val="0"/>
          <w:smallCaps w:val="0"/>
          <w:color w:val="000000"/>
          <w:spacing w:val="0"/>
          <w:w w:val="100"/>
          <w:kern w:val="2"/>
          <w:sz w:val="32"/>
          <w:szCs w:val="32"/>
          <w:lang w:val="en-US" w:eastAsia="zh-CN" w:bidi="ar-SA"/>
        </w:rPr>
      </w:pPr>
    </w:p>
    <w:p>
      <w:pPr>
        <w:pStyle w:val="18"/>
        <w:widowControl/>
        <w:snapToGrid w:val="0"/>
        <w:spacing w:before="0" w:beforeAutospacing="0" w:after="0" w:afterAutospacing="0" w:line="240" w:lineRule="auto"/>
        <w:jc w:val="left"/>
        <w:textAlignment w:val="baseline"/>
        <w:rPr>
          <w:rStyle w:val="0"/>
          <w:rFonts w:ascii="宋体" w:eastAsia="仿宋_GB2312" w:hAnsi="宋体"/>
          <w:b w:val="0"/>
          <w:i w:val="0"/>
          <w:caps w:val="0"/>
          <w:smallCaps w:val="0"/>
          <w:color w:val="000000"/>
          <w:spacing w:val="0"/>
          <w:w w:val="100"/>
          <w:kern w:val="2"/>
          <w:sz w:val="32"/>
          <w:szCs w:val="32"/>
          <w:lang w:val="en-US" w:eastAsia="zh-CN" w:bidi="ar-SA"/>
        </w:rPr>
      </w:pPr>
    </w:p>
    <w:p>
      <w:pPr>
        <w:snapToGrid w:val="0"/>
        <w:spacing w:before="0" w:beforeAutospacing="0" w:after="0" w:afterAutospacing="0" w:line="640" w:lineRule="exact"/>
        <w:ind w:firstLine="645"/>
        <w:jc w:val="both"/>
        <w:textAlignment w:val="baseline"/>
        <w:rPr>
          <w:rFonts w:ascii="仿宋_GB2312" w:eastAsia="仿宋_GB2312" w:cs="仿宋_GB2312" w:hint="eastAsia"/>
          <w:kern w:val="2"/>
          <w:sz w:val="32"/>
          <w:szCs w:val="40"/>
          <w:lang w:val="en-US" w:eastAsia="zh-CN" w:bidi="ar-SA"/>
        </w:rPr>
      </w:pPr>
      <w:r>
        <w:rPr>
          <w:rStyle w:val="0"/>
          <w:rFonts w:ascii="宋体" w:eastAsia="仿宋_GB2312" w:hAnsi="宋体"/>
          <w:b w:val="0"/>
          <w:i w:val="0"/>
          <w:caps w:val="0"/>
          <w:smallCaps w:val="0"/>
          <w:color w:val="000000"/>
          <w:spacing w:val="0"/>
          <w:w w:val="100"/>
          <w:kern w:val="2"/>
          <w:sz w:val="32"/>
          <w:szCs w:val="32"/>
          <w:lang w:val="en-US" w:eastAsia="zh-CN" w:bidi="ar-SA"/>
        </w:rPr>
        <w:t xml:space="preserve">                           </w:t>
      </w:r>
      <w:r>
        <w:rPr>
          <w:rFonts w:ascii="仿宋_GB2312" w:eastAsia="仿宋_GB2312" w:cs="仿宋_GB2312" w:hint="eastAsia"/>
          <w:kern w:val="2"/>
          <w:sz w:val="32"/>
          <w:szCs w:val="40"/>
          <w:lang w:val="en-US" w:eastAsia="zh-CN" w:bidi="ar-SA"/>
        </w:rPr>
        <w:t xml:space="preserve"> 2022年12月6日</w:t>
      </w:r>
    </w:p>
    <w:sectPr>
      <w:footerReference w:type="default" r:id="rId2"/>
      <w:pgSz w:w="11906" w:h="16838"/>
      <w:pgMar w:top="1531" w:right="1417" w:bottom="1417" w:left="147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宋体">
    <w:altName w:val="方正书宋_GBK"/>
    <w:panose1 w:val="00000000000000000000"/>
    <w:charset w:val="86"/>
    <w:family w:val="auto"/>
    <w:pitch w:val="variable"/>
    <w:sig w:usb0="00000000" w:usb1="00000000" w:usb2="00000000" w:usb3="00000000" w:csb0="00000000"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2000000000000000000"/>
    <w:charset w:val="86"/>
    <w:family w:val="script"/>
    <w:pitch w:val="variable"/>
    <w:sig w:usb0="00000001" w:usb1="0800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altName w:val="方正楷体_GBK"/>
    <w:panose1 w:val="02010609060101010101"/>
    <w:charset w:val="86"/>
    <w:family w:val="auto"/>
    <w:pitch w:val="variable"/>
    <w:sig w:usb0="00000000" w:usb1="00000000" w:usb2="00000016" w:usb3="00000000" w:csb0="00040001" w:csb1="00000000"/>
  </w:font>
  <w:font w:name="Arial">
    <w:altName w:val="Times New Roman"/>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widowControl/>
      <w:tabs>
        <w:tab w:val="center" w:pos="4153"/>
        <w:tab w:val="right" w:pos="8306"/>
      </w:tabs>
      <w:snapToGrid w:val="0"/>
      <w:jc w:val="left"/>
      <w:textAlignment w:val="baseline"/>
      <w:rPr>
        <w:rStyle w:val="0"/>
        <w:rFonts w:ascii="Times New Roman" w:eastAsia="宋体" w:hAnsi="Times New Roman"/>
        <w:kern w:val="2"/>
        <w:sz w:val="18"/>
        <w:lang w:val="en-US" w:eastAsia="zh-CN" w:bidi="ar-SA"/>
      </w:rPr>
    </w:pPr>
    <w:r>
      <w:rPr>
        <w:rStyle w:val="0"/>
        <w:rFonts w:ascii="Times New Roman" w:eastAsia="宋体" w:hAnsi="Times New Roman"/>
        <w:kern w:val="2"/>
        <w:sz w:val="18"/>
        <w:lang w:val="en-US" w:eastAsia="zh-CN" w:bidi="ar-SA"/>
      </w:rP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1828800" cy="22225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828800" cy="222250"/>
                      </a:xfrm>
                      <a:prstGeom prst="rect"/>
                      <a:noFill/>
                      <a:ln w="9525" cmpd="sng" cap="flat">
                        <a:noFill/>
                        <a:prstDash val="solid"/>
                        <a:miter/>
                      </a:ln>
                    </wps:spPr>
                    <wps:txbx id="2">
                      <w:txbxContent>
                        <w:p>
                          <w:pPr>
                            <w:pStyle w:val="17"/>
                            <w:widowControl/>
                            <w:tabs>
                              <w:tab w:val="center" w:pos="4153"/>
                              <w:tab w:val="right" w:pos="8306"/>
                            </w:tabs>
                            <w:snapToGrid w:val="0"/>
                            <w:jc w:val="left"/>
                            <w:textAlignment w:val="baseline"/>
                            <w:rPr>
                              <w:rStyle w:val="0"/>
                              <w:rFonts w:ascii="宋体" w:eastAsia="宋体"/>
                              <w:kern w:val="2"/>
                              <w:sz w:val="28"/>
                              <w:szCs w:val="28"/>
                              <w:lang w:val="en-US" w:eastAsia="zh-CN" w:bidi="ar-SA"/>
                            </w:rPr>
                          </w:pPr>
                        </w:p>
                        <w:p>
                          <w:pPr>
                            <w:jc w:val="both"/>
                            <w:textAlignment w:val="baseline"/>
                            <w:rPr>
                              <w:rStyle w:val="0"/>
                              <w:rFonts w:ascii="Times New Roman" w:eastAsia="宋体" w:hAnsi="Times New Roman"/>
                              <w:kern w:val="2"/>
                              <w:sz w:val="21"/>
                              <w:lang w:val="en-US" w:eastAsia="zh-CN" w:bidi="ar-SA"/>
                            </w:rPr>
                          </w:pPr>
                        </w:p>
                      </w:txbxContent>
                    </wps:txbx>
                    <wps:bodyPr vert="horz" wrap="square" lIns="0" tIns="0" rIns="0" bIns="0" anchor="t" anchorCtr="0" upright="1">
                      <a:noAutofit/>
                    </wps:bodyPr>
                  </wps:wsp>
                </a:graphicData>
              </a:graphic>
            </wp:anchor>
          </w:drawing>
        </mc:Choice>
        <mc:Fallback>
          <w:pict>
            <v:shape type="#_x0000_t202" id="文本框 3" o:spid="_x0000_s3" filled="f" stroked="f" style="position:absolute;margin-left:0.0pt;margin-top:0.0pt;width:144.0pt;height:17.5pt;z-index:10;mso-position-horizontal:center;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7"/>
                      <w:widowControl/>
                      <w:tabs>
                        <w:tab w:val="center" w:pos="4153"/>
                        <w:tab w:val="right" w:pos="8306"/>
                      </w:tabs>
                      <w:snapToGrid w:val="0"/>
                      <w:jc w:val="left"/>
                      <w:textAlignment w:val="baseline"/>
                      <w:rPr>
                        <w:rStyle w:val="0"/>
                        <w:rFonts w:ascii="宋体" w:eastAsia="宋体"/>
                        <w:kern w:val="2"/>
                        <w:sz w:val="28"/>
                        <w:szCs w:val="28"/>
                        <w:lang w:val="en-US" w:eastAsia="zh-CN" w:bidi="ar-SA"/>
                      </w:rPr>
                    </w:pPr>
                  </w:p>
                  <w:p>
                    <w:pPr>
                      <w:jc w:val="both"/>
                      <w:textAlignment w:val="baseline"/>
                      <w:rPr>
                        <w:rStyle w:val="0"/>
                        <w:rFonts w:ascii="Times New Roman" w:eastAsia="宋体" w:hAnsi="Times New Roman"/>
                        <w:kern w:val="2"/>
                        <w:sz w:val="21"/>
                        <w:lang w:val="en-US" w:eastAsia="zh-CN" w:bidi="ar-SA"/>
                      </w:rPr>
                    </w:pP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oNotUseMarginsForDrawingGridOrigin/>
  <w:drawingGridHorizontalOrigin w:val="1800"/>
  <w:drawingGridVerticalOrigin w:val="1440"/>
  <w:displayHorizontalDrawingGridEvery w:val="0"/>
  <w:displayVerticalDrawingGridEvery w:val="2"/>
  <w:noPunctuationKerning/>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jc w:val="both"/>
      <w:textAlignment w:val="baseline"/>
    </w:pPr>
    <w:rPr>
      <w:rFonts w:ascii="Times New Roman" w:eastAsia="宋体" w:cs="Arial" w:hAnsi="Times New Roman"/>
      <w:kern w:val="2"/>
      <w:sz w:val="21"/>
      <w:lang w:val="en-US" w:eastAsia="zh-CN" w:bidi="ar-SA"/>
    </w:rPr>
  </w:style>
  <w:style w:type="character" w:default="1" w:styleId="10">
    <w:name w:val="Default Paragraph Font"/>
  </w:style>
  <w:style w:type="paragraph" w:customStyle="1" w:styleId="15">
    <w:name w:val="BodyText"/>
    <w:basedOn w:val="0"/>
    <w:pPr>
      <w:jc w:val="both"/>
      <w:textAlignment w:val="baseline"/>
    </w:pPr>
    <w:rPr>
      <w:rFonts w:ascii="Times New Roman" w:eastAsia="宋体" w:hAnsi="Times New Roman"/>
      <w:kern w:val="0"/>
      <w:sz w:val="18"/>
      <w:szCs w:val="20"/>
      <w:lang w:val="en-US" w:eastAsia="zh-CN" w:bidi="ar-SA"/>
    </w:rPr>
  </w:style>
  <w:style w:type="paragraph" w:styleId="16">
    <w:name w:val="Body Text"/>
    <w:basedOn w:val="0"/>
    <w:rPr>
      <w:rFonts w:ascii="Times New Roman" w:cs="Times New Roman" w:hAnsi="Times New Roman"/>
      <w:kern w:val="0"/>
      <w:sz w:val="18"/>
      <w:szCs w:val="20"/>
    </w:rPr>
  </w:style>
  <w:style w:type="paragraph" w:styleId="17">
    <w:name w:val="footer"/>
    <w:basedOn w:val="0"/>
    <w:pPr>
      <w:tabs>
        <w:tab w:val="center" w:pos="4153"/>
        <w:tab w:val="right" w:pos="8306"/>
      </w:tabs>
      <w:snapToGrid w:val="0"/>
      <w:jc w:val="left"/>
      <w:textAlignment w:val="baseline"/>
    </w:pPr>
    <w:rPr>
      <w:rFonts w:ascii="Times New Roman" w:eastAsia="宋体" w:hAnsi="Times New Roman"/>
      <w:kern w:val="2"/>
      <w:sz w:val="18"/>
      <w:lang w:val="en-US" w:eastAsia="zh-CN" w:bidi="ar-SA"/>
    </w:rPr>
  </w:style>
  <w:style w:type="paragraph" w:customStyle="1" w:styleId="18">
    <w:name w:val="FootnoteText"/>
    <w:basedOn w:val="0"/>
    <w:pPr>
      <w:snapToGrid w:val="0"/>
      <w:jc w:val="left"/>
      <w:textAlignment w:val="baseline"/>
    </w:pPr>
    <w:rPr>
      <w:rFonts w:ascii="Times New Roman" w:eastAsia="宋体" w:hAnsi="Times New Roman"/>
      <w:kern w:val="2"/>
      <w:sz w:val="18"/>
      <w:lang w:val="en-US" w:eastAsia="zh-CN" w:bidi="ar-SA"/>
    </w:rPr>
  </w:style>
  <w:style w:type="paragraph" w:customStyle="1" w:styleId="19">
    <w:name w:val="UserStyle_0"/>
    <w:next w:val="18"/>
    <w:pPr>
      <w:jc w:val="both"/>
      <w:textAlignment w:val="baseline"/>
    </w:pPr>
    <w:rPr>
      <w:rFonts w:ascii="Times New Roman" w:eastAsia="宋体" w:cs="Arial" w:hAnsi="Times New Roman"/>
      <w:kern w:val="2"/>
      <w:sz w:val="21"/>
      <w:szCs w:val="24"/>
      <w:lang w:val="en-US" w:eastAsia="zh-CN" w:bidi="ar-SA"/>
    </w:rPr>
  </w:style>
  <w:style w:type="paragraph" w:customStyle="1" w:styleId="20">
    <w:name w:val="UserStyle_1"/>
    <w:pPr>
      <w:widowControl/>
      <w:jc w:val="both"/>
      <w:textAlignment w:val="baseline"/>
    </w:pPr>
    <w:rPr>
      <w:rFonts w:ascii="Times New Roman" w:eastAsia="宋体" w:cs="Arial" w:hAnsi="Times New Roman"/>
      <w:kern w:val="2"/>
      <w:sz w:val="21"/>
      <w:szCs w:val="24"/>
      <w:lang w:val="en-US" w:eastAsia="zh-CN" w:bidi="ar-SA"/>
    </w:rPr>
  </w:style>
  <w:style w:type="paragraph" w:customStyle="1" w:styleId="21">
    <w:name w:val="UserStyle_2"/>
    <w:pPr>
      <w:widowControl/>
      <w:jc w:val="both"/>
      <w:textAlignment w:val="baseline"/>
    </w:pPr>
    <w:rPr>
      <w:rFonts w:ascii="Times New Roman" w:eastAsia="宋体" w:cs="Arial"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Application>
  <Pages>3</Pages>
  <Words>940</Words>
  <Characters>1005</Characters>
  <Lines>50</Lines>
  <Paragraphs>21</Paragraphs>
  <CharactersWithSpaces>1033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USER-</cp:lastModifiedBy>
  <cp:revision>0</cp:revision>
  <dcterms:created xsi:type="dcterms:W3CDTF">2022-12-08T20:55:00Z</dcterms:created>
  <dcterms:modified xsi:type="dcterms:W3CDTF">2023-03-27T07:22:46Z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