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制造业“单项冠军”企业标准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i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i w:val="0"/>
          <w:color w:val="auto"/>
          <w:sz w:val="32"/>
          <w:szCs w:val="32"/>
        </w:rPr>
        <w:t>基本条件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  <w:t>制造业单项冠军包括单项冠军示范企业和单项冠军产品。须满足以下条件：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  <w:t>坚持专业化发展。企业长期专注并深耕于产业链某一环节或某一产品领域。从事相关领域10年及以上，属于新产品的应达到3年及以上。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eastAsia="zh-CN"/>
        </w:rPr>
        <w:t>（二</w:t>
      </w:r>
      <w:r>
        <w:rPr>
          <w:rFonts w:hint="default" w:ascii="仿宋_GB2312" w:hAnsi="仿宋_GB2312" w:eastAsia="仿宋_GB2312" w:cs="仿宋_GB2312"/>
          <w:i w:val="0"/>
          <w:color w:val="auto"/>
          <w:sz w:val="32"/>
          <w:szCs w:val="32"/>
          <w:lang w:val="en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  <w:t>市场份额全球领先。企业申请产品的市场占有率位居全球前三。产品类别原则上按照《统计用产品分类目录》8位或10位代码，难以准确归入的应符合行业普遍认可的惯例。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  <w:t>创新能力强。企业生产技术、工艺国际领先，重视研发投入，拥有核心自主知识产权，主导或参与制定相关领域技术标准。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  <w:t>质量效益高。企业申请产品质量精良，关键性能指标处于国际同类产品领先水平。经营业绩优秀，盈利能力超过行业企业的总体水平。重视并实施国际化经营和品牌战略，全球市场前景好，建立完善的品牌培育管理体系并取得良好成效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  <w:t>具有独立法人资格，具有健全的财务、知识产权、技术标准、质量保证和安全生产等管理制度。近三年无环境、质量、安全违法记录，企业申请产品能耗达到能耗限额标准先进值，安全生产水平达到行业先进水平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i w:val="0"/>
          <w:color w:val="auto"/>
          <w:sz w:val="32"/>
          <w:szCs w:val="32"/>
        </w:rPr>
        <w:t>申请类别。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  <w:t>企业依据自身条件在单项冠军示范企业和单项冠军产品中择一申请。申请单项冠军示范企业的，相应产品的销售收入须占企业主营业务收入的70%以上。申请单项冠军产品的，只能申请一个产品。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i w:val="0"/>
          <w:color w:val="auto"/>
          <w:sz w:val="32"/>
          <w:szCs w:val="32"/>
        </w:rPr>
        <w:t>重点产品领域。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  <w:t>为深入推进产业基础高级化、产业链现代化，加快推动制造强国建设，我部列出了单项冠军培育遴选重点领域。对重点领域企业和产品，尤其是重点领域补短板的，优先予以推荐。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eastAsia="zh-CN"/>
        </w:rPr>
        <w:t>重点领域如下：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新一代信息技术：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电子元器件、电子专用设备与测量仪器、集成电路制造设备和零部件、集成电路制造与封测、网络设备、智能感知设备及器件、新型计算设备（服务器、存储设备等）、智能终端产品、物联网器件及设备、新型显示、信息安全设备、人工智能软硬件、网络与信息安全软件、工业互联网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lang w:val="en-US" w:eastAsia="zh-CN" w:bidi="ar"/>
        </w:rPr>
        <w:t>（二）装备制造：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机器人与服务机器人、数控机床与先进成形装备、增材制造装备、大型工程机械及部件、重大成套设备、智能测控装备（仪器仪表）、工业母机、关键基础零部件、铁路高端装备及部件、城市轨道装备及部件、先进适用农机装备及部件、高效专用农机装备及部件、先进纺织机械、智能化食品饮料机械、高端医疗装备、工业气体关键技术及装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lang w:val="en-US" w:eastAsia="zh-CN" w:bidi="ar"/>
        </w:rPr>
        <w:t>（三）新材料：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先进钢铁材料、先进有色金属材料、先进石化化工新材料、先进无机非金属材料、先进稀土材料、高储能和关键电子材料、高性能纤维及制品和复合材料、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生物基和生物医用材料、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先进半导体材料、新型显示材料、新能源材料、新能源电池材料、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绿色节能建筑材料、其他前沿新材料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lang w:val="en-US" w:eastAsia="zh-CN" w:bidi="ar"/>
        </w:rPr>
        <w:t>（四）新能源汽车和智能网联汽车：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新能源汽车整车、电驱动系统、动力电池系统、燃料电池系统、环境感知设备、车载联网设备、计算平台及操作系统、开发软件及工具链、软硬件测试设备、其他零部件及相关设备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lang w:val="en-US" w:eastAsia="zh-CN" w:bidi="ar"/>
        </w:rPr>
        <w:t>（五）新能源：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燃料加工及设备制造、核电装备、风能发电机装备及零部件、风能发电其他相关装备、太阳能设备和生产装备、太阳能电池与锂离子电池、生物质能及其他新能源设备、智能电力控制设备及电缆、电力电子基础元器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lang w:val="en-US" w:eastAsia="zh-CN" w:bidi="ar"/>
        </w:rPr>
        <w:t>（六）节能环保：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效节能通用设备、高效节能专用设备、高效节能电气机械器材、高效节能工业控制装置、环境保护专用设备、环境保护监测仪器及电子设备、环境污染处理药剂材料、矿产资源与工业废弃资源利用设备、城乡生活垃圾与农林废弃资源利用设备、水及海水资源利用设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lang w:val="en-US" w:eastAsia="zh-CN" w:bidi="ar"/>
        </w:rPr>
        <w:t>（七）航空航天与海洋装备：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航空器整机（不含无人机）、航空发动机、航空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机载系统和设备、航空零部件、无人机、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卫星应用技术设备、船舶与海洋工程装备、深海石油钻探设备、其他海洋相关设备与产品、海洋环境监测与探测装备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lang w:val="en-US" w:eastAsia="zh-CN" w:bidi="ar"/>
        </w:rPr>
        <w:t>（八）其他：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数字创意技术设备、冰雪装备器材、文物保护装备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ascii="宋体" w:hAnsi="宋体" w:eastAsia="宋体" w:cs="宋体"/>
          <w:i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i w:val="0"/>
          <w:color w:val="auto"/>
          <w:sz w:val="32"/>
          <w:szCs w:val="32"/>
        </w:rPr>
        <w:t>完善梯度培育体系。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  <w:t>支持各地方、中央企业建立单项冠军储备库，将有潜力的企业纳入培育工作范围，建立健全梯度培育体系。梯度培育情况将与各地推荐名额挂钩。支持专精特新“小巨人”企业成长为单项冠军。年销售收入4亿元以下的企业，如申请单项冠军，应为已入选的专精特新“小巨人”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52A83"/>
    <w:rsid w:val="362B0D2A"/>
    <w:rsid w:val="55852A83"/>
    <w:rsid w:val="59217964"/>
    <w:rsid w:val="6B047B7E"/>
    <w:rsid w:val="7A0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 First Indent 2"/>
    <w:basedOn w:val="10"/>
    <w:next w:val="1"/>
    <w:qFormat/>
    <w:uiPriority w:val="0"/>
    <w:pPr>
      <w:ind w:firstLine="960"/>
    </w:pPr>
  </w:style>
  <w:style w:type="paragraph" w:customStyle="1" w:styleId="10">
    <w:name w:val="Body Text Indent"/>
    <w:basedOn w:val="1"/>
    <w:qFormat/>
    <w:uiPriority w:val="0"/>
    <w:pPr>
      <w:spacing w:after="120" w:afterLines="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2022-02-22T06:37:00Z</dcterms:created>
  <dc:creator>Administrator</dc:creator>
  <cp:lastModifiedBy>緈冨！伊始！</cp:lastModifiedBy>
  <dcterms:modified xsi:type="dcterms:W3CDTF">2022-02-25T06:38:28Z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0E48D0C8FB5E45EDA6E997352FDD6CAF</vt:lpwstr>
  </property>
</Properties>
</file>