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DE35">
      <w:pPr>
        <w:rPr>
          <w:rFonts w:hint="eastAsia" w:ascii="黑体" w:hAnsi="黑体" w:eastAsia="黑体" w:cs="黑体"/>
          <w:sz w:val="32"/>
          <w:szCs w:val="32"/>
          <w:highlight w:val="green"/>
          <w:lang w:eastAsia="zh-CN"/>
        </w:rPr>
      </w:pPr>
      <w:bookmarkStart w:id="0" w:name="_GoBack"/>
      <w:bookmarkEnd w:id="0"/>
      <w:r>
        <w:rPr>
          <w:rFonts w:hint="eastAsia" w:ascii="黑体" w:hAnsi="黑体" w:eastAsia="黑体" w:cs="黑体"/>
          <w:sz w:val="32"/>
          <w:szCs w:val="32"/>
          <w:lang w:eastAsia="zh-CN"/>
        </w:rPr>
        <w:t>附件</w:t>
      </w:r>
    </w:p>
    <w:p w14:paraId="6EAC2B75">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2025年全国中小企业服务月活动清单</w:t>
      </w:r>
    </w:p>
    <w:p w14:paraId="021E94C1"/>
    <w:p w14:paraId="649F9AC4">
      <w:pPr>
        <w:rPr>
          <w:rFonts w:hint="eastAsia"/>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75"/>
        <w:gridCol w:w="2007"/>
        <w:gridCol w:w="9130"/>
        <w:gridCol w:w="1661"/>
      </w:tblGrid>
      <w:tr w14:paraId="0E9D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jc w:val="center"/>
        </w:trPr>
        <w:tc>
          <w:tcPr>
            <w:tcW w:w="1375" w:type="dxa"/>
            <w:noWrap w:val="0"/>
            <w:vAlign w:val="center"/>
          </w:tcPr>
          <w:p w14:paraId="590BDB61">
            <w:pPr>
              <w:jc w:val="center"/>
              <w:rPr>
                <w:rFonts w:hint="eastAsia" w:ascii="黑体" w:hAnsi="黑体" w:eastAsia="黑体" w:cs="黑体"/>
                <w:sz w:val="24"/>
                <w:szCs w:val="24"/>
              </w:rPr>
            </w:pPr>
            <w:r>
              <w:rPr>
                <w:rFonts w:hint="eastAsia" w:ascii="黑体" w:hAnsi="黑体" w:eastAsia="黑体" w:cs="黑体"/>
                <w:sz w:val="24"/>
                <w:szCs w:val="24"/>
                <w:lang w:val="en-US" w:eastAsia="zh-CN"/>
              </w:rPr>
              <w:t>服务领域</w:t>
            </w:r>
          </w:p>
        </w:tc>
        <w:tc>
          <w:tcPr>
            <w:tcW w:w="2007" w:type="dxa"/>
            <w:noWrap w:val="0"/>
            <w:vAlign w:val="center"/>
          </w:tcPr>
          <w:p w14:paraId="7D88602B">
            <w:pPr>
              <w:jc w:val="center"/>
              <w:rPr>
                <w:rFonts w:hint="eastAsia" w:ascii="黑体" w:hAnsi="黑体" w:eastAsia="黑体" w:cs="黑体"/>
                <w:sz w:val="24"/>
                <w:szCs w:val="24"/>
              </w:rPr>
            </w:pPr>
            <w:r>
              <w:rPr>
                <w:rFonts w:hint="eastAsia" w:ascii="黑体" w:hAnsi="黑体" w:eastAsia="黑体" w:cs="黑体"/>
                <w:sz w:val="24"/>
                <w:szCs w:val="24"/>
                <w:lang w:val="en-US" w:eastAsia="zh-CN"/>
              </w:rPr>
              <w:t>单位</w:t>
            </w:r>
          </w:p>
        </w:tc>
        <w:tc>
          <w:tcPr>
            <w:tcW w:w="9130" w:type="dxa"/>
            <w:noWrap w:val="0"/>
            <w:vAlign w:val="center"/>
          </w:tcPr>
          <w:p w14:paraId="7E190901">
            <w:pPr>
              <w:jc w:val="center"/>
              <w:rPr>
                <w:rFonts w:hint="eastAsia" w:ascii="黑体" w:hAnsi="黑体" w:eastAsia="黑体" w:cs="黑体"/>
                <w:sz w:val="24"/>
                <w:szCs w:val="24"/>
              </w:rPr>
            </w:pPr>
            <w:r>
              <w:rPr>
                <w:rFonts w:hint="eastAsia" w:ascii="黑体" w:hAnsi="黑体" w:eastAsia="黑体" w:cs="黑体"/>
                <w:sz w:val="24"/>
                <w:szCs w:val="24"/>
                <w:lang w:val="en-US" w:eastAsia="zh-CN"/>
              </w:rPr>
              <w:t>活动内容</w:t>
            </w:r>
          </w:p>
        </w:tc>
        <w:tc>
          <w:tcPr>
            <w:tcW w:w="1661" w:type="dxa"/>
            <w:noWrap w:val="0"/>
            <w:vAlign w:val="center"/>
          </w:tcPr>
          <w:p w14:paraId="60DB4841">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联系人及</w:t>
            </w:r>
            <w:r>
              <w:rPr>
                <w:rFonts w:hint="eastAsia" w:ascii="黑体" w:hAnsi="黑体" w:eastAsia="黑体" w:cs="黑体"/>
                <w:sz w:val="24"/>
                <w:szCs w:val="24"/>
                <w:lang w:val="en-US" w:eastAsia="zh-CN"/>
              </w:rPr>
              <w:br w:type="textWrapping"/>
            </w:r>
            <w:r>
              <w:rPr>
                <w:rFonts w:hint="eastAsia" w:ascii="黑体" w:hAnsi="黑体" w:eastAsia="黑体" w:cs="黑体"/>
                <w:sz w:val="24"/>
                <w:szCs w:val="24"/>
                <w:lang w:val="en-US" w:eastAsia="zh-CN"/>
              </w:rPr>
              <w:t>联系方式</w:t>
            </w:r>
          </w:p>
        </w:tc>
      </w:tr>
      <w:tr w14:paraId="60D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6BB67C8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市场拓展</w:t>
            </w:r>
          </w:p>
        </w:tc>
        <w:tc>
          <w:tcPr>
            <w:tcW w:w="2007" w:type="dxa"/>
            <w:noWrap w:val="0"/>
            <w:vAlign w:val="center"/>
          </w:tcPr>
          <w:p w14:paraId="35E1FF2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中国中小企业发展促进中心</w:t>
            </w:r>
          </w:p>
        </w:tc>
        <w:tc>
          <w:tcPr>
            <w:tcW w:w="9130" w:type="dxa"/>
            <w:noWrap w:val="0"/>
            <w:vAlign w:val="center"/>
          </w:tcPr>
          <w:p w14:paraId="001F1922">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1.在青岛举办2场分行业沙龙对接活动，通过主题分享、产业链代表企业需求发布、企业路演响应、主题研讨等环节，推动专精特新中小企业与行业专家、金融机构、服务机构开展面对面交流，挖掘合作机遇。</w:t>
            </w:r>
          </w:p>
        </w:tc>
        <w:tc>
          <w:tcPr>
            <w:tcW w:w="1661" w:type="dxa"/>
            <w:noWrap w:val="0"/>
            <w:vAlign w:val="center"/>
          </w:tcPr>
          <w:p w14:paraId="5341BA17">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张楠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010-82292062</w:t>
            </w:r>
          </w:p>
        </w:tc>
      </w:tr>
      <w:tr w14:paraId="6E4F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4AD350AA">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467ACB1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1C2E5C4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网络安全产业发展中心</w:t>
            </w:r>
          </w:p>
        </w:tc>
        <w:tc>
          <w:tcPr>
            <w:tcW w:w="9130" w:type="dxa"/>
            <w:noWrap w:val="0"/>
            <w:vAlign w:val="center"/>
          </w:tcPr>
          <w:p w14:paraId="7CE15186">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2.开展2025年“创客中国”供需对接重点城市行，在江西、四川、重庆、浙江等地组织开展“创客中国”优质参赛企业供需对接座谈活动。</w:t>
            </w:r>
          </w:p>
        </w:tc>
        <w:tc>
          <w:tcPr>
            <w:tcW w:w="1661" w:type="dxa"/>
            <w:noWrap w:val="0"/>
            <w:vAlign w:val="center"/>
          </w:tcPr>
          <w:p w14:paraId="77321DA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黄贺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010-68200397</w:t>
            </w:r>
          </w:p>
        </w:tc>
      </w:tr>
      <w:tr w14:paraId="0B39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1AFBF3B1">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DB7790B">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1F043007">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国际经济技术合作中心</w:t>
            </w:r>
          </w:p>
        </w:tc>
        <w:tc>
          <w:tcPr>
            <w:tcW w:w="9130" w:type="dxa"/>
            <w:noWrap w:val="0"/>
            <w:vAlign w:val="center"/>
          </w:tcPr>
          <w:p w14:paraId="4B889802">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3.6月25日举办上海国际绕线、线圈、绝缘材料、磁性材料及电机变压器制造展览会，聚焦“低空经济之电动航空产业前沿技术”“机器人及高效节能电机的创新与实践”“电气装备绿色低碳创新发展”等热点议题，帮助中小企业了解前沿技术、开拓市场。</w:t>
            </w:r>
          </w:p>
        </w:tc>
        <w:tc>
          <w:tcPr>
            <w:tcW w:w="1661" w:type="dxa"/>
            <w:noWrap w:val="0"/>
            <w:vAlign w:val="center"/>
          </w:tcPr>
          <w:p w14:paraId="18735E0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熊喆</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010-68200629</w:t>
            </w:r>
          </w:p>
        </w:tc>
      </w:tr>
      <w:tr w14:paraId="2275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5" w:hRule="atLeast"/>
          <w:jc w:val="center"/>
        </w:trPr>
        <w:tc>
          <w:tcPr>
            <w:tcW w:w="1375" w:type="dxa"/>
            <w:vMerge w:val="restart"/>
            <w:noWrap w:val="0"/>
            <w:vAlign w:val="center"/>
          </w:tcPr>
          <w:p w14:paraId="455C6898">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引才育才</w:t>
            </w:r>
          </w:p>
        </w:tc>
        <w:tc>
          <w:tcPr>
            <w:tcW w:w="2007" w:type="dxa"/>
            <w:noWrap w:val="0"/>
            <w:vAlign w:val="center"/>
          </w:tcPr>
          <w:p w14:paraId="69A939BD">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中国电子信息产业发展研究院</w:t>
            </w:r>
          </w:p>
        </w:tc>
        <w:tc>
          <w:tcPr>
            <w:tcW w:w="9130" w:type="dxa"/>
            <w:noWrap w:val="0"/>
            <w:vAlign w:val="center"/>
          </w:tcPr>
          <w:p w14:paraId="3194A120">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开展数字化物流仿真专题研讨会，邀请物流仿真领域资深工程师、重点高校科研团队，针对制造企业仓储管理痛点，面向技术人员开展“理论讲解+软件实操”专项培训，培训内容包括：“物流仿真大模型构建方法论”“数字孪生技术在仓储规划中的应用”“AGV路径优化仿真案例演练”等，并通过现场操作工业仿真软件，帮助企业掌握物流仿真工具使用技巧。</w:t>
            </w:r>
          </w:p>
        </w:tc>
        <w:tc>
          <w:tcPr>
            <w:tcW w:w="1661" w:type="dxa"/>
            <w:noWrap w:val="0"/>
            <w:vAlign w:val="center"/>
          </w:tcPr>
          <w:p w14:paraId="1E04B3D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安然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0512-66585035</w:t>
            </w:r>
          </w:p>
        </w:tc>
      </w:tr>
      <w:tr w14:paraId="6FB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17E97589">
            <w:pPr>
              <w:jc w:val="center"/>
              <w:rPr>
                <w:rFonts w:hint="default" w:ascii="Times New Roman" w:hAnsi="Times New Roman" w:eastAsia="仿宋_GB2312" w:cs="Times New Roman"/>
                <w:sz w:val="24"/>
                <w:szCs w:val="24"/>
                <w:lang w:val="en-US" w:eastAsia="zh-CN"/>
              </w:rPr>
            </w:pPr>
          </w:p>
        </w:tc>
        <w:tc>
          <w:tcPr>
            <w:tcW w:w="2007" w:type="dxa"/>
            <w:vMerge w:val="restart"/>
            <w:noWrap w:val="0"/>
            <w:vAlign w:val="center"/>
          </w:tcPr>
          <w:p w14:paraId="63C7C735">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中国电子技术标准化研究院</w:t>
            </w:r>
          </w:p>
        </w:tc>
        <w:tc>
          <w:tcPr>
            <w:tcW w:w="9130" w:type="dxa"/>
            <w:vMerge w:val="restart"/>
            <w:noWrap w:val="0"/>
            <w:vAlign w:val="center"/>
          </w:tcPr>
          <w:p w14:paraId="3FFBB567">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5.开展数字人才培养与评价研讨活动，邀请数字人才培养领域专家，分享人才培养政策、标准、案例，提供人才培养服务目录。</w:t>
            </w:r>
          </w:p>
        </w:tc>
        <w:tc>
          <w:tcPr>
            <w:tcW w:w="1661" w:type="dxa"/>
            <w:vMerge w:val="restart"/>
            <w:noWrap w:val="0"/>
            <w:vAlign w:val="center"/>
          </w:tcPr>
          <w:p w14:paraId="57DD6A1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付铮</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010-64102627</w:t>
            </w:r>
          </w:p>
        </w:tc>
      </w:tr>
      <w:tr w14:paraId="2DEC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144D9774">
            <w:pPr>
              <w:jc w:val="center"/>
              <w:rPr>
                <w:rFonts w:hint="default" w:ascii="Times New Roman" w:hAnsi="Times New Roman" w:eastAsia="仿宋_GB2312" w:cs="Times New Roman"/>
                <w:sz w:val="24"/>
                <w:szCs w:val="24"/>
                <w:lang w:val="en-US" w:eastAsia="zh-CN"/>
              </w:rPr>
            </w:pPr>
          </w:p>
        </w:tc>
        <w:tc>
          <w:tcPr>
            <w:tcW w:w="2007" w:type="dxa"/>
            <w:vMerge w:val="continue"/>
            <w:noWrap w:val="0"/>
            <w:vAlign w:val="center"/>
          </w:tcPr>
          <w:p w14:paraId="2822B96E">
            <w:pPr>
              <w:jc w:val="center"/>
              <w:rPr>
                <w:rFonts w:hint="default" w:ascii="Times New Roman" w:hAnsi="Times New Roman" w:eastAsia="仿宋_GB2312" w:cs="Times New Roman"/>
                <w:sz w:val="24"/>
                <w:szCs w:val="24"/>
                <w:lang w:val="en-US" w:eastAsia="zh-CN"/>
              </w:rPr>
            </w:pPr>
          </w:p>
        </w:tc>
        <w:tc>
          <w:tcPr>
            <w:tcW w:w="9130" w:type="dxa"/>
            <w:vMerge w:val="continue"/>
            <w:noWrap w:val="0"/>
            <w:vAlign w:val="center"/>
          </w:tcPr>
          <w:p w14:paraId="195B3709">
            <w:pPr>
              <w:rPr>
                <w:rFonts w:hint="default" w:ascii="Times New Roman" w:hAnsi="Times New Roman" w:eastAsia="仿宋_GB2312" w:cs="Times New Roman"/>
                <w:sz w:val="24"/>
                <w:szCs w:val="24"/>
                <w:lang w:val="en-US" w:eastAsia="zh-CN"/>
              </w:rPr>
            </w:pPr>
          </w:p>
        </w:tc>
        <w:tc>
          <w:tcPr>
            <w:tcW w:w="1661" w:type="dxa"/>
            <w:vMerge w:val="continue"/>
            <w:noWrap w:val="0"/>
            <w:vAlign w:val="center"/>
          </w:tcPr>
          <w:p w14:paraId="0167540E">
            <w:pPr>
              <w:jc w:val="center"/>
              <w:rPr>
                <w:rFonts w:hint="default" w:ascii="Times New Roman" w:hAnsi="Times New Roman" w:eastAsia="仿宋_GB2312" w:cs="Times New Roman"/>
                <w:sz w:val="24"/>
                <w:szCs w:val="24"/>
                <w:lang w:val="en-US" w:eastAsia="zh-CN"/>
              </w:rPr>
            </w:pPr>
          </w:p>
        </w:tc>
      </w:tr>
      <w:tr w14:paraId="6C36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jc w:val="center"/>
        </w:trPr>
        <w:tc>
          <w:tcPr>
            <w:tcW w:w="1375" w:type="dxa"/>
            <w:vMerge w:val="continue"/>
            <w:noWrap w:val="0"/>
            <w:vAlign w:val="center"/>
          </w:tcPr>
          <w:p w14:paraId="1286941A">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277E106D">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中国中小企业发展促进中心</w:t>
            </w:r>
          </w:p>
        </w:tc>
        <w:tc>
          <w:tcPr>
            <w:tcW w:w="9130" w:type="dxa"/>
            <w:noWrap w:val="0"/>
            <w:vAlign w:val="center"/>
          </w:tcPr>
          <w:p w14:paraId="3A8EC9D3">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6.在2025年全国中小企业网上百日招聘高校毕业生活动期间，结合“优企进校 招才引智”专项行动和“访企拓岗”行动，鼓励企业和高校通过线上对接、入校招聘、入企体验、直播带岗、就业指导、实习培训等形式，推动校企加强人才交流对接。</w:t>
            </w:r>
          </w:p>
        </w:tc>
        <w:tc>
          <w:tcPr>
            <w:tcW w:w="1661" w:type="dxa"/>
            <w:noWrap w:val="0"/>
            <w:vAlign w:val="center"/>
          </w:tcPr>
          <w:p w14:paraId="7809F24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刘晓西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010-82292048</w:t>
            </w:r>
          </w:p>
        </w:tc>
      </w:tr>
      <w:tr w14:paraId="401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7820EBEB">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28240AD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35AFC9A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人才交流中心</w:t>
            </w:r>
          </w:p>
        </w:tc>
        <w:tc>
          <w:tcPr>
            <w:tcW w:w="9130" w:type="dxa"/>
            <w:noWrap w:val="0"/>
            <w:vAlign w:val="center"/>
          </w:tcPr>
          <w:p w14:paraId="6785CF1F">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7.6月中旬在深圳组织开展2025年度中小企业经营管理领军人才第一期培训；6月中旬在北京航空航天大学、北京理工大学组织开展中小企业“高校对接深度行”活动，促进优质中小企业与高校深度对接；6月在“企业微课”平台征集2025年中小企业人才培训“名师优课”公益课程，供广大中小企业免费使用。</w:t>
            </w:r>
          </w:p>
        </w:tc>
        <w:tc>
          <w:tcPr>
            <w:tcW w:w="1661" w:type="dxa"/>
            <w:noWrap w:val="0"/>
            <w:vAlign w:val="center"/>
          </w:tcPr>
          <w:p w14:paraId="3D98C1D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李宗陈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010-68207860</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贾越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010-68207843</w:t>
            </w:r>
          </w:p>
        </w:tc>
      </w:tr>
      <w:tr w14:paraId="5CD9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4735007F">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576A9FF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123585CD">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教育与考试中心</w:t>
            </w:r>
          </w:p>
        </w:tc>
        <w:tc>
          <w:tcPr>
            <w:tcW w:w="9130" w:type="dxa"/>
            <w:noWrap w:val="0"/>
            <w:vAlign w:val="center"/>
          </w:tcPr>
          <w:p w14:paraId="09E8DA2A">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在工业和信息化技术技能人才网上学习平台开设“2025年全国中小企业服务月线上大课堂”专题栏目，免费向社会开放，帮助中小企业了解政策、前沿技术、行业发展趋势等信息，并邀请专家、管理和技术骨干，在微信视频号开展6-8期线上直播授课，为中小企业讲解数字化转型创新应用、人才建设路径方法等。</w:t>
            </w:r>
          </w:p>
        </w:tc>
        <w:tc>
          <w:tcPr>
            <w:tcW w:w="1661" w:type="dxa"/>
            <w:noWrap w:val="0"/>
            <w:vAlign w:val="center"/>
          </w:tcPr>
          <w:p w14:paraId="28C33BD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陈穆珩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010-68607726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穆步洲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010-68607723</w:t>
            </w:r>
          </w:p>
        </w:tc>
      </w:tr>
      <w:tr w14:paraId="7B19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67C13098">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融资促进</w:t>
            </w:r>
          </w:p>
        </w:tc>
        <w:tc>
          <w:tcPr>
            <w:tcW w:w="2007" w:type="dxa"/>
            <w:noWrap w:val="0"/>
            <w:vAlign w:val="center"/>
          </w:tcPr>
          <w:p w14:paraId="7E76FDE6">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国家工业信息安全发展研究中心</w:t>
            </w:r>
          </w:p>
        </w:tc>
        <w:tc>
          <w:tcPr>
            <w:tcW w:w="9130" w:type="dxa"/>
            <w:noWrap w:val="0"/>
            <w:vAlign w:val="center"/>
          </w:tcPr>
          <w:p w14:paraId="39A32F29">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9.开展硬科技企业金融与产品对接路演，帮助匹配金融机构和潜在客户，推进硬科技企业产品产业化应用。</w:t>
            </w:r>
          </w:p>
        </w:tc>
        <w:tc>
          <w:tcPr>
            <w:tcW w:w="1661" w:type="dxa"/>
            <w:noWrap w:val="0"/>
            <w:vAlign w:val="center"/>
          </w:tcPr>
          <w:p w14:paraId="2D238BD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万小竹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010-88681187</w:t>
            </w:r>
          </w:p>
        </w:tc>
      </w:tr>
      <w:tr w14:paraId="7D40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0EF549D9">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452055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31938D2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火炬高技术产业开发中心</w:t>
            </w:r>
          </w:p>
        </w:tc>
        <w:tc>
          <w:tcPr>
            <w:tcW w:w="9130" w:type="dxa"/>
            <w:noWrap w:val="0"/>
            <w:vAlign w:val="center"/>
          </w:tcPr>
          <w:p w14:paraId="4577A3FE">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10.举办火炬高新优企系列座谈会，在历届中国创新创业大赛优胜企业中，分批次、分领域邀请相关企业、地方承办单位、银行、创投机构，帮助解决企业阶段性融资需求。</w:t>
            </w:r>
          </w:p>
        </w:tc>
        <w:tc>
          <w:tcPr>
            <w:tcW w:w="1661" w:type="dxa"/>
            <w:noWrap w:val="0"/>
            <w:vAlign w:val="center"/>
          </w:tcPr>
          <w:p w14:paraId="4EFE375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杨竣臣</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010-68209142</w:t>
            </w:r>
          </w:p>
        </w:tc>
      </w:tr>
      <w:tr w14:paraId="743B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0C6A0E2F">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4BA04C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513CD46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产业发展促进中心</w:t>
            </w:r>
          </w:p>
        </w:tc>
        <w:tc>
          <w:tcPr>
            <w:tcW w:w="9130" w:type="dxa"/>
            <w:noWrap w:val="0"/>
            <w:vAlign w:val="center"/>
          </w:tcPr>
          <w:p w14:paraId="33B5A8CB">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开展产融一体·创新益企活动，通过项目路演、技术交流、投融资对接等方式，围绕地方重点产业领域优质中小企业的技术、资金、市场等需求，针对性汇聚高校院所、银行、创投基金、行业龙头企业等资源，为中小企业搭建展示与交流合作平台。</w:t>
            </w:r>
          </w:p>
        </w:tc>
        <w:tc>
          <w:tcPr>
            <w:tcW w:w="1661" w:type="dxa"/>
            <w:noWrap w:val="0"/>
            <w:vAlign w:val="center"/>
          </w:tcPr>
          <w:p w14:paraId="35583CC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李睿龙</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020-82111566</w:t>
            </w:r>
          </w:p>
        </w:tc>
      </w:tr>
      <w:tr w14:paraId="6248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5E9F689E">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46BCE7B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中国通信学会</w:t>
            </w:r>
          </w:p>
        </w:tc>
        <w:tc>
          <w:tcPr>
            <w:tcW w:w="9130" w:type="dxa"/>
            <w:noWrap w:val="0"/>
            <w:vAlign w:val="center"/>
          </w:tcPr>
          <w:p w14:paraId="397B37E8">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12.6月27日举办第七届中国数字普惠金融大会，邀请政府部门、权威专家解读数字普惠金融相关政策，分享数字普惠金融成功案例和实践经验等。</w:t>
            </w:r>
          </w:p>
        </w:tc>
        <w:tc>
          <w:tcPr>
            <w:tcW w:w="1661" w:type="dxa"/>
            <w:noWrap w:val="0"/>
            <w:vAlign w:val="center"/>
          </w:tcPr>
          <w:p w14:paraId="1BFAA3FB">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江艾芸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13301189133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刘璇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18610311896</w:t>
            </w:r>
          </w:p>
        </w:tc>
      </w:tr>
      <w:tr w14:paraId="36A2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610E900B">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数字化转型</w:t>
            </w:r>
          </w:p>
        </w:tc>
        <w:tc>
          <w:tcPr>
            <w:tcW w:w="2007" w:type="dxa"/>
            <w:noWrap w:val="0"/>
            <w:vAlign w:val="center"/>
          </w:tcPr>
          <w:p w14:paraId="7FAB9F3C">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中国电子信息产业发展研究院</w:t>
            </w:r>
          </w:p>
        </w:tc>
        <w:tc>
          <w:tcPr>
            <w:tcW w:w="9130" w:type="dxa"/>
            <w:noWrap w:val="0"/>
            <w:vAlign w:val="center"/>
          </w:tcPr>
          <w:p w14:paraId="0DD40E66">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13.开展灯塔工厂数字化建设游学活动，遴选3家国家级灯塔工厂作为参访对象，组织中小企业实地考察智能车间、数字孪生控制中心等场景。</w:t>
            </w:r>
          </w:p>
        </w:tc>
        <w:tc>
          <w:tcPr>
            <w:tcW w:w="1661" w:type="dxa"/>
            <w:noWrap w:val="0"/>
            <w:vAlign w:val="center"/>
          </w:tcPr>
          <w:p w14:paraId="755A1B9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安然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0512-66585035</w:t>
            </w:r>
          </w:p>
        </w:tc>
      </w:tr>
      <w:tr w14:paraId="2ED8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51ECF5F1">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0623244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国家工业信息安全发展研究中心</w:t>
            </w:r>
          </w:p>
        </w:tc>
        <w:tc>
          <w:tcPr>
            <w:tcW w:w="9130" w:type="dxa"/>
            <w:noWrap w:val="0"/>
            <w:vAlign w:val="center"/>
          </w:tcPr>
          <w:p w14:paraId="6CE37FB7">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14.依托两化融合公共服务平台（www.cspiii.com），面向全国中小企业免费提供数字化转型“评估诊断+对标引导+解决方案+供需对接”的一站式线上服务。</w:t>
            </w:r>
          </w:p>
        </w:tc>
        <w:tc>
          <w:tcPr>
            <w:tcW w:w="1661" w:type="dxa"/>
            <w:noWrap w:val="0"/>
            <w:vAlign w:val="center"/>
          </w:tcPr>
          <w:p w14:paraId="4124CD6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马路遥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010-88686448</w:t>
            </w:r>
          </w:p>
        </w:tc>
      </w:tr>
      <w:tr w14:paraId="5231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4B4F668C">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26C39F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中国电子技术标准化研究院</w:t>
            </w:r>
          </w:p>
        </w:tc>
        <w:tc>
          <w:tcPr>
            <w:tcW w:w="9130" w:type="dxa"/>
            <w:noWrap w:val="0"/>
            <w:vAlign w:val="center"/>
          </w:tcPr>
          <w:p w14:paraId="3035C85B">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15.开展数字化转型与信安技术应用服务体验活动，举办4场公益课堂，聚焦制造业、电子信息行业数字化转型、制造业质量能力评估、信息安全开展惠企政策宣贯。</w:t>
            </w:r>
          </w:p>
        </w:tc>
        <w:tc>
          <w:tcPr>
            <w:tcW w:w="1661" w:type="dxa"/>
            <w:noWrap w:val="0"/>
            <w:vAlign w:val="center"/>
          </w:tcPr>
          <w:p w14:paraId="4791E7A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王盈盈</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010-64102688</w:t>
            </w:r>
          </w:p>
        </w:tc>
      </w:tr>
      <w:tr w14:paraId="786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167DBDAF">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486AEA6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中国电子产品可靠性与环境试验研究所</w:t>
            </w:r>
          </w:p>
        </w:tc>
        <w:tc>
          <w:tcPr>
            <w:tcW w:w="9130" w:type="dxa"/>
            <w:noWrap w:val="0"/>
            <w:vAlign w:val="center"/>
          </w:tcPr>
          <w:p w14:paraId="5E0EF951">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举办产业链供需对接会，聚焦中小企业数字化转型的痛点难点，围绕人工智能、工业软件、机器人等重点领域，搭建“技术交流—需求对接—成果转化”的一站式平台，促进产业链上中下游企业、科研机构、金融机构等各方深度合作与协同创新。</w:t>
            </w:r>
          </w:p>
        </w:tc>
        <w:tc>
          <w:tcPr>
            <w:tcW w:w="1661" w:type="dxa"/>
            <w:noWrap w:val="0"/>
            <w:vAlign w:val="center"/>
          </w:tcPr>
          <w:p w14:paraId="5CFAC28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张来平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020-87234641</w:t>
            </w:r>
          </w:p>
        </w:tc>
      </w:tr>
      <w:tr w14:paraId="3A0E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634E0720">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942254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中国机电设备招标中心</w:t>
            </w:r>
          </w:p>
        </w:tc>
        <w:tc>
          <w:tcPr>
            <w:tcW w:w="9130" w:type="dxa"/>
            <w:noWrap w:val="0"/>
            <w:vAlign w:val="center"/>
          </w:tcPr>
          <w:p w14:paraId="74904620">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17.在湖北组织中小企业数字化转型专题活动，邀请专家、重点企业、服务机构等介绍数字化转型相关政策、应用场景、解决方案，并组织开展数字化转型服务供需对接，提供专家咨询、测试评价、人才培训等服务。</w:t>
            </w:r>
          </w:p>
        </w:tc>
        <w:tc>
          <w:tcPr>
            <w:tcW w:w="1661" w:type="dxa"/>
            <w:noWrap w:val="0"/>
            <w:vAlign w:val="center"/>
          </w:tcPr>
          <w:p w14:paraId="07005DA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谢士琴</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010-88485011</w:t>
            </w:r>
          </w:p>
        </w:tc>
      </w:tr>
      <w:tr w14:paraId="1967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0A8EEE23">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69C8D33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中国互联网络信息中心</w:t>
            </w:r>
          </w:p>
        </w:tc>
        <w:tc>
          <w:tcPr>
            <w:tcW w:w="9130" w:type="dxa"/>
            <w:noWrap w:val="0"/>
            <w:vAlign w:val="center"/>
          </w:tcPr>
          <w:p w14:paraId="74F2725B">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开展互联网基础资源益企惠企活动，2025年6月至2026年12月，国内中小企业可免费新注册国家顶级域名，同时可免费申请国家顶级域名相关配套服务，并联合国家顶级域名注册服务机构以优惠价格提供主机、建站、邮箱等数字化产品和服务。</w:t>
            </w:r>
          </w:p>
        </w:tc>
        <w:tc>
          <w:tcPr>
            <w:tcW w:w="1661" w:type="dxa"/>
            <w:noWrap w:val="0"/>
            <w:vAlign w:val="center"/>
          </w:tcPr>
          <w:p w14:paraId="765CA01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李珂</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010-59116303</w:t>
            </w:r>
          </w:p>
        </w:tc>
      </w:tr>
      <w:tr w14:paraId="5A6D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6B0AFAE4">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67EF96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工业和信息化部威海电子信息技术综合研究中心</w:t>
            </w:r>
          </w:p>
        </w:tc>
        <w:tc>
          <w:tcPr>
            <w:tcW w:w="9130" w:type="dxa"/>
            <w:noWrap w:val="0"/>
            <w:vAlign w:val="center"/>
          </w:tcPr>
          <w:p w14:paraId="59734DA8">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19.开展中小企业政策解读，举办3场活动，线下线上同步直播，通过专家答疑、“一对一”诊断咨询等形式，对中小企业数字化转型、绿色工厂等政策进行解读。</w:t>
            </w:r>
          </w:p>
        </w:tc>
        <w:tc>
          <w:tcPr>
            <w:tcW w:w="1661" w:type="dxa"/>
            <w:noWrap w:val="0"/>
            <w:vAlign w:val="center"/>
          </w:tcPr>
          <w:p w14:paraId="2ED69446">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崔洪涛</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0631-3809899</w:t>
            </w:r>
          </w:p>
        </w:tc>
      </w:tr>
      <w:tr w14:paraId="386B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67D8D45C">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技术赋能</w:t>
            </w:r>
          </w:p>
        </w:tc>
        <w:tc>
          <w:tcPr>
            <w:tcW w:w="2007" w:type="dxa"/>
            <w:noWrap w:val="0"/>
            <w:vAlign w:val="center"/>
          </w:tcPr>
          <w:p w14:paraId="2DF8752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中国电子信息产业发展研究院</w:t>
            </w:r>
          </w:p>
        </w:tc>
        <w:tc>
          <w:tcPr>
            <w:tcW w:w="9130" w:type="dxa"/>
            <w:noWrap w:val="0"/>
            <w:vAlign w:val="center"/>
          </w:tcPr>
          <w:p w14:paraId="552A3FE1">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20.开展“智造未来：AI技术赋能制造业”主题沙龙，邀请行业专家，聚焦AI质检、预测性维护、智能排产等核心技术，围绕“AI+制造”应用场景开展政策解读与技术研讨。</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21.举办人工智能标杆企业考察和经验推广活动，联合标杆企业在杭州人工智能小镇设立专题展区，帮助企业直观了解AI技术应用价值，并举办“AI技术需求诊断”专场，邀请专家团队提供免费咨询服务。</w:t>
            </w:r>
          </w:p>
        </w:tc>
        <w:tc>
          <w:tcPr>
            <w:tcW w:w="1661" w:type="dxa"/>
            <w:noWrap w:val="0"/>
            <w:vAlign w:val="center"/>
          </w:tcPr>
          <w:p w14:paraId="3283C20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安然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0512-66585035</w:t>
            </w:r>
          </w:p>
        </w:tc>
      </w:tr>
      <w:tr w14:paraId="245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2F7C69C6">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6064ED6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中国电子产品可靠性与环境试验研究所</w:t>
            </w:r>
          </w:p>
        </w:tc>
        <w:tc>
          <w:tcPr>
            <w:tcW w:w="9130" w:type="dxa"/>
            <w:noWrap w:val="0"/>
            <w:vAlign w:val="center"/>
          </w:tcPr>
          <w:p w14:paraId="1C2BB848">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依托电子信息中小企业公共服务平台等，开放共享检验检测设备、科研数据等实验室资源，为中小企业提供可靠性设计、质量检测、试验、认证等综合性技术服务。依托质量品牌公共服务平台、云上赛宝等，举办公益技术培训活动，支撑企业质量提升、技术创新。</w:t>
            </w:r>
          </w:p>
        </w:tc>
        <w:tc>
          <w:tcPr>
            <w:tcW w:w="1661" w:type="dxa"/>
            <w:noWrap w:val="0"/>
            <w:vAlign w:val="center"/>
          </w:tcPr>
          <w:p w14:paraId="0C1DA4F7">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张来平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020-87234641</w:t>
            </w:r>
          </w:p>
        </w:tc>
      </w:tr>
      <w:tr w14:paraId="7ACD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69CBE652">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082FF89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3A71214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国际经济技术合作中心</w:t>
            </w:r>
          </w:p>
        </w:tc>
        <w:tc>
          <w:tcPr>
            <w:tcW w:w="9130" w:type="dxa"/>
            <w:noWrap w:val="0"/>
            <w:vAlign w:val="center"/>
          </w:tcPr>
          <w:p w14:paraId="74775E56">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23.在河北、山东、江西、海南、甘肃、福建等地组织“工业设计服务地方行”活动，进地方、进园区、进企业，通过政策宣贯、企业对接、出海服务推介等方式，引导支持企业提升工业设计能力。</w:t>
            </w:r>
          </w:p>
        </w:tc>
        <w:tc>
          <w:tcPr>
            <w:tcW w:w="1661" w:type="dxa"/>
            <w:noWrap w:val="0"/>
            <w:vAlign w:val="center"/>
          </w:tcPr>
          <w:p w14:paraId="167727B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田斌</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010-68200616</w:t>
            </w:r>
          </w:p>
        </w:tc>
      </w:tr>
      <w:tr w14:paraId="52B2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0438916E">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B9F69B8">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中国电子学会</w:t>
            </w:r>
          </w:p>
        </w:tc>
        <w:tc>
          <w:tcPr>
            <w:tcW w:w="9130" w:type="dxa"/>
            <w:noWrap w:val="0"/>
            <w:vAlign w:val="center"/>
          </w:tcPr>
          <w:p w14:paraId="44CA6314">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24.开展消费电子产品检验检测服务活动，通过线下沙龙等方式为企业提供检验检测、技术研发、计量认证、产业咨询、技术成果转化推广等服务。</w:t>
            </w:r>
          </w:p>
        </w:tc>
        <w:tc>
          <w:tcPr>
            <w:tcW w:w="1661" w:type="dxa"/>
            <w:noWrap w:val="0"/>
            <w:vAlign w:val="center"/>
          </w:tcPr>
          <w:p w14:paraId="36C5709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司德昱</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010-59570578</w:t>
            </w:r>
          </w:p>
        </w:tc>
      </w:tr>
      <w:tr w14:paraId="6AA7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4C77FC2E">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478AA8B">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中国中小企业协会</w:t>
            </w:r>
          </w:p>
        </w:tc>
        <w:tc>
          <w:tcPr>
            <w:tcW w:w="9130" w:type="dxa"/>
            <w:noWrap w:val="0"/>
            <w:vAlign w:val="center"/>
          </w:tcPr>
          <w:p w14:paraId="4F2A738E">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25.开展文心赋能中小企业专项行动计划，联合百度提供文心大模型技术资源包，发布AI线上公开课及线下开发实践workshop，免费为企业提供AI培训。</w:t>
            </w:r>
          </w:p>
        </w:tc>
        <w:tc>
          <w:tcPr>
            <w:tcW w:w="1661" w:type="dxa"/>
            <w:noWrap w:val="0"/>
            <w:vAlign w:val="center"/>
          </w:tcPr>
          <w:p w14:paraId="5CCE8BE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孙佳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010-88653639</w:t>
            </w:r>
          </w:p>
        </w:tc>
      </w:tr>
      <w:tr w14:paraId="295F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14305C34">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管理提升</w:t>
            </w:r>
          </w:p>
        </w:tc>
        <w:tc>
          <w:tcPr>
            <w:tcW w:w="2007" w:type="dxa"/>
            <w:noWrap w:val="0"/>
            <w:vAlign w:val="center"/>
          </w:tcPr>
          <w:p w14:paraId="0C38891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国家工业信息安全发展研究中心</w:t>
            </w:r>
          </w:p>
        </w:tc>
        <w:tc>
          <w:tcPr>
            <w:tcW w:w="9130" w:type="dxa"/>
            <w:noWrap w:val="0"/>
            <w:vAlign w:val="center"/>
          </w:tcPr>
          <w:p w14:paraId="0160C2F7">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26.举办中小企业网络安全“充电站”活动，通过网络安全一堂课、一本手册、一系列公益服务，为中小企业解读网络安全形势、政策要求，并提供免费资产暴露面监测、免费漏洞查询等服务，帮助企业筑牢网络安全防护屏障。</w:t>
            </w:r>
          </w:p>
        </w:tc>
        <w:tc>
          <w:tcPr>
            <w:tcW w:w="1661" w:type="dxa"/>
            <w:noWrap w:val="0"/>
            <w:vAlign w:val="center"/>
          </w:tcPr>
          <w:p w14:paraId="075C6F80">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陈柯宇</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18813159211</w:t>
            </w:r>
          </w:p>
        </w:tc>
      </w:tr>
      <w:tr w14:paraId="6A14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6DA7471E">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287F6D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中国电子产品可靠性与环境试验研究所</w:t>
            </w:r>
          </w:p>
        </w:tc>
        <w:tc>
          <w:tcPr>
            <w:tcW w:w="9130" w:type="dxa"/>
            <w:noWrap w:val="0"/>
            <w:vAlign w:val="center"/>
          </w:tcPr>
          <w:p w14:paraId="22942F2B">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27.通过质量可靠性整体解决方案TSQ免费开展企业“把脉问诊”活动及工业节能诊断服务，组建专家团队深入企业调研诊断，推动中小企业优化管理流程，实现绿色化转型升级和可持续发展。</w:t>
            </w:r>
          </w:p>
        </w:tc>
        <w:tc>
          <w:tcPr>
            <w:tcW w:w="1661" w:type="dxa"/>
            <w:noWrap w:val="0"/>
            <w:vAlign w:val="center"/>
          </w:tcPr>
          <w:p w14:paraId="1A0903F5">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张来平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020-87234641</w:t>
            </w:r>
          </w:p>
        </w:tc>
      </w:tr>
      <w:tr w14:paraId="260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761FDA52">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3539D13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6EDF1EB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工业文化发展中心</w:t>
            </w:r>
          </w:p>
        </w:tc>
        <w:tc>
          <w:tcPr>
            <w:tcW w:w="9130" w:type="dxa"/>
            <w:noWrap w:val="0"/>
            <w:vAlign w:val="center"/>
          </w:tcPr>
          <w:p w14:paraId="57E9902B">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28.开展中小企业管理会计义诊活动，为中小企业搭建“政产学研金服用”综合平台，普及管理会计理念，梳理企业财务管理的痛点难点问题，制定管理提升方案等。</w:t>
            </w:r>
          </w:p>
          <w:p w14:paraId="6C6337EE">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29.举办AI驱动中小企业精细化管理特色活动，通过入企调研、专家分享、AI应用案例解读等方式，邀请行业专家与企业高管共同探讨AI在供应链优化、智能决策支持等场景的应用路径，并组织深入标杆企业车间，实地观摩AI驱动的精益生产流程与智能管理系统。</w:t>
            </w:r>
          </w:p>
        </w:tc>
        <w:tc>
          <w:tcPr>
            <w:tcW w:w="1661" w:type="dxa"/>
            <w:noWrap w:val="0"/>
            <w:vAlign w:val="center"/>
          </w:tcPr>
          <w:p w14:paraId="7A28900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石凌雁</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010-68209942</w:t>
            </w:r>
          </w:p>
          <w:p w14:paraId="6D8E2A5B">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周思源</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010-68209942</w:t>
            </w:r>
          </w:p>
        </w:tc>
      </w:tr>
      <w:tr w14:paraId="015C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5B539AF6">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2470DD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中国工信出版传媒集团有限责任公司（人民邮电出版社）</w:t>
            </w:r>
          </w:p>
        </w:tc>
        <w:tc>
          <w:tcPr>
            <w:tcW w:w="9130" w:type="dxa"/>
            <w:noWrap w:val="0"/>
            <w:vAlign w:val="center"/>
          </w:tcPr>
          <w:p w14:paraId="7ECF031A">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30.开展全国中小企业“出版+”知识赋能工程，为中小企业提供出版咨询、出版流程科普、定制发展书单等精准、多元的出版文化服务，并为中小企业提供图书优惠购买活动。</w:t>
            </w:r>
          </w:p>
        </w:tc>
        <w:tc>
          <w:tcPr>
            <w:tcW w:w="1661" w:type="dxa"/>
            <w:noWrap w:val="0"/>
            <w:vAlign w:val="center"/>
          </w:tcPr>
          <w:p w14:paraId="6CF0E0F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周葛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010-81055085</w:t>
            </w:r>
          </w:p>
        </w:tc>
      </w:tr>
      <w:tr w14:paraId="0692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8" w:hRule="atLeast"/>
          <w:jc w:val="center"/>
        </w:trPr>
        <w:tc>
          <w:tcPr>
            <w:tcW w:w="1375" w:type="dxa"/>
            <w:vMerge w:val="continue"/>
            <w:noWrap w:val="0"/>
            <w:vAlign w:val="center"/>
          </w:tcPr>
          <w:p w14:paraId="66C3D626">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61DC0D56">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中国中小企业协会</w:t>
            </w:r>
          </w:p>
        </w:tc>
        <w:tc>
          <w:tcPr>
            <w:tcW w:w="9130" w:type="dxa"/>
            <w:noWrap w:val="0"/>
            <w:vAlign w:val="center"/>
          </w:tcPr>
          <w:p w14:paraId="204E9808">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31.6月中下旬在成都、上海开展知识产权赋能活动，邀请知识产权领域专家解读政策、分享案例，帮助企业筑牢产权保护屏障、运用知识产权实现创新突破。</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32.6月27日在深圳开展研发费管理中的大数据分析与智能应用活动，通过经验分享、互动交流，帮助企业充分挖掘大数据与智能技术在研发费管理中的创新应用场景。</w:t>
            </w:r>
          </w:p>
        </w:tc>
        <w:tc>
          <w:tcPr>
            <w:tcW w:w="1661" w:type="dxa"/>
            <w:noWrap w:val="0"/>
            <w:vAlign w:val="center"/>
          </w:tcPr>
          <w:p w14:paraId="263E1EC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宋绍波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010-88653611</w:t>
            </w:r>
          </w:p>
        </w:tc>
      </w:tr>
      <w:tr w14:paraId="5D94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6" w:hRule="atLeast"/>
          <w:jc w:val="center"/>
        </w:trPr>
        <w:tc>
          <w:tcPr>
            <w:tcW w:w="1375" w:type="dxa"/>
            <w:vMerge w:val="restart"/>
            <w:noWrap w:val="0"/>
            <w:vAlign w:val="center"/>
          </w:tcPr>
          <w:p w14:paraId="67842D8F">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出海服务</w:t>
            </w:r>
          </w:p>
        </w:tc>
        <w:tc>
          <w:tcPr>
            <w:tcW w:w="2007" w:type="dxa"/>
            <w:noWrap w:val="0"/>
            <w:vAlign w:val="center"/>
          </w:tcPr>
          <w:p w14:paraId="474B37E7">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中国信息通信研究院</w:t>
            </w:r>
          </w:p>
        </w:tc>
        <w:tc>
          <w:tcPr>
            <w:tcW w:w="9130" w:type="dxa"/>
            <w:noWrap w:val="0"/>
            <w:vAlign w:val="center"/>
          </w:tcPr>
          <w:p w14:paraId="3DD47D06">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33.举办信息通信产品出海认证专场讲座，通过视频直播或录播形式，聚焦信息通信产品出海的主要检测认证体系，解读CE、FCC认证、蓝牙及Wi-Fi相关技术现况与认证要求、USB-C接口电子产品合规要点与出口认证要求，推动企业信息通信产品顺利出海。</w:t>
            </w:r>
          </w:p>
        </w:tc>
        <w:tc>
          <w:tcPr>
            <w:tcW w:w="1661" w:type="dxa"/>
            <w:noWrap w:val="0"/>
            <w:vAlign w:val="center"/>
          </w:tcPr>
          <w:p w14:paraId="6B56F619">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卢博</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13811272423</w:t>
            </w:r>
          </w:p>
        </w:tc>
      </w:tr>
      <w:tr w14:paraId="2003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1B50B1DB">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7F15BB9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中国中小企业发展促进中心</w:t>
            </w:r>
          </w:p>
        </w:tc>
        <w:tc>
          <w:tcPr>
            <w:tcW w:w="9130" w:type="dxa"/>
            <w:noWrap w:val="0"/>
            <w:vAlign w:val="center"/>
          </w:tcPr>
          <w:p w14:paraId="48742521">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34.开展中国中小企业“走出去”万帆耘海行动，邀请境内外专家、中小企业，针对出海盲点、痛点、难点开展线下主题宣讲和线上交流直播，并根据活动举办地重点产业，提前收集海外订单向中小企业发布。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35.在第二十届中国国际中小企业博览会期间，举办国际科技成果交流对接、“一月一链”融资路演、人工智能赋能新型工业化、APEC中小企业产业集群发展对接研讨会等活动。</w:t>
            </w:r>
          </w:p>
        </w:tc>
        <w:tc>
          <w:tcPr>
            <w:tcW w:w="1661" w:type="dxa"/>
            <w:noWrap w:val="0"/>
            <w:vAlign w:val="center"/>
          </w:tcPr>
          <w:p w14:paraId="1302B7F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王洪文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010-82292529</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肖谦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010-82292039</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吴冠妍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010-82292031</w:t>
            </w:r>
          </w:p>
        </w:tc>
      </w:tr>
      <w:tr w14:paraId="52A5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2ABB704F">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4A088FA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工业和信息化部</w:t>
            </w:r>
          </w:p>
          <w:p w14:paraId="39C01E0A">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国际经济技术合作中心</w:t>
            </w:r>
          </w:p>
        </w:tc>
        <w:tc>
          <w:tcPr>
            <w:tcW w:w="9130" w:type="dxa"/>
            <w:noWrap w:val="0"/>
            <w:vAlign w:val="center"/>
          </w:tcPr>
          <w:p w14:paraId="1F5D37D9">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36.6月中旬在深圳开展中小企业“走出去”辅导与出海对接会、中小企业融资对接与境外上市研讨会等活动，通过政策解读、主题演讲、分组研讨、资源对接，助力中小企业对接海外资源。</w:t>
            </w:r>
          </w:p>
        </w:tc>
        <w:tc>
          <w:tcPr>
            <w:tcW w:w="1661" w:type="dxa"/>
            <w:noWrap w:val="0"/>
            <w:vAlign w:val="center"/>
          </w:tcPr>
          <w:p w14:paraId="1AA875C6">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萨楚拉</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 010-68207917</w:t>
            </w:r>
          </w:p>
        </w:tc>
      </w:tr>
      <w:tr w14:paraId="7ED1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0D3186C0">
            <w:pPr>
              <w:jc w:val="center"/>
              <w:rPr>
                <w:rFonts w:hint="default" w:ascii="Times New Roman" w:hAnsi="Times New Roman" w:eastAsia="仿宋_GB2312" w:cs="Times New Roman"/>
                <w:sz w:val="24"/>
                <w:szCs w:val="24"/>
                <w:lang w:val="en-US" w:eastAsia="zh-CN"/>
              </w:rPr>
            </w:pPr>
          </w:p>
        </w:tc>
        <w:tc>
          <w:tcPr>
            <w:tcW w:w="2007" w:type="dxa"/>
            <w:noWrap w:val="0"/>
            <w:vAlign w:val="center"/>
          </w:tcPr>
          <w:p w14:paraId="1A412A6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中国企业评价协会</w:t>
            </w:r>
          </w:p>
        </w:tc>
        <w:tc>
          <w:tcPr>
            <w:tcW w:w="9130" w:type="dxa"/>
            <w:noWrap w:val="0"/>
            <w:vAlign w:val="center"/>
          </w:tcPr>
          <w:p w14:paraId="1C40913C">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37.开展中小企业出海培训与发展支持活动，线上与线下培训相结合，选派出海领域资深专家、外交事务专家，开展出海实战培训与出海能力评估，帮助企业提升国际化意识和能力。</w:t>
            </w:r>
          </w:p>
        </w:tc>
        <w:tc>
          <w:tcPr>
            <w:tcW w:w="1661" w:type="dxa"/>
            <w:noWrap w:val="0"/>
            <w:vAlign w:val="center"/>
          </w:tcPr>
          <w:p w14:paraId="75AA5BD5">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王鑫</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010-52932023转727</w:t>
            </w:r>
          </w:p>
        </w:tc>
      </w:tr>
      <w:tr w14:paraId="53D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restart"/>
            <w:noWrap w:val="0"/>
            <w:vAlign w:val="center"/>
          </w:tcPr>
          <w:p w14:paraId="214DE6B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合规管理</w:t>
            </w:r>
          </w:p>
        </w:tc>
        <w:tc>
          <w:tcPr>
            <w:tcW w:w="2007" w:type="dxa"/>
            <w:noWrap w:val="0"/>
            <w:vAlign w:val="center"/>
          </w:tcPr>
          <w:p w14:paraId="306BA0A2">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中国信息通信研究院</w:t>
            </w:r>
          </w:p>
        </w:tc>
        <w:tc>
          <w:tcPr>
            <w:tcW w:w="9130" w:type="dxa"/>
            <w:noWrap w:val="0"/>
            <w:vAlign w:val="center"/>
          </w:tcPr>
          <w:p w14:paraId="0830C350">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38.开展突发环境事件的管理和要求培训，采用线上培训的方式，帮助企业了解企业突发环境事件基本知识、风险评估及预案管理。</w:t>
            </w:r>
          </w:p>
        </w:tc>
        <w:tc>
          <w:tcPr>
            <w:tcW w:w="1661" w:type="dxa"/>
            <w:noWrap w:val="0"/>
            <w:vAlign w:val="center"/>
          </w:tcPr>
          <w:p w14:paraId="7ADF42A3">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王红娟</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010-82051623</w:t>
            </w:r>
          </w:p>
        </w:tc>
      </w:tr>
      <w:tr w14:paraId="0D1D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75" w:type="dxa"/>
            <w:vMerge w:val="continue"/>
            <w:noWrap w:val="0"/>
            <w:vAlign w:val="center"/>
          </w:tcPr>
          <w:p w14:paraId="3BBEAF3D">
            <w:pPr>
              <w:rPr>
                <w:rFonts w:hint="default" w:ascii="Times New Roman" w:hAnsi="Times New Roman" w:eastAsia="仿宋_GB2312" w:cs="Times New Roman"/>
                <w:sz w:val="24"/>
                <w:szCs w:val="24"/>
                <w:lang w:val="en-US" w:eastAsia="zh-CN"/>
              </w:rPr>
            </w:pPr>
          </w:p>
        </w:tc>
        <w:tc>
          <w:tcPr>
            <w:tcW w:w="2007" w:type="dxa"/>
            <w:noWrap w:val="0"/>
            <w:vAlign w:val="center"/>
          </w:tcPr>
          <w:p w14:paraId="03C885D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中国中小企业协会</w:t>
            </w:r>
          </w:p>
        </w:tc>
        <w:tc>
          <w:tcPr>
            <w:tcW w:w="9130" w:type="dxa"/>
            <w:noWrap w:val="0"/>
            <w:vAlign w:val="center"/>
          </w:tcPr>
          <w:p w14:paraId="31B62520">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39.开展金财赋能中小企业财务合规专项计划，聚焦会计合规、资金合规、税务合规、内控合规四个领域，通过10场公益直播培训，促进企业提升财务合规水平。</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40.开展用好破产法纾困中小企业债务困境主题沙龙，邀请知名破产法专家、投行专业人士在线讲解“企业破产法”如何帮助中小企业债务纾困、“投行重整”模式如何助力中小企业破茧重生等内容，并开通企业咨询服务热线。</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41.开展“中小企业法律财税风险防范与合规管理”知识讲座，通过案例分析和专业指导，对金税四期解读，帮助中小企业了解法律财税风险，提供风险防范策略。</w:t>
            </w:r>
          </w:p>
        </w:tc>
        <w:tc>
          <w:tcPr>
            <w:tcW w:w="1661" w:type="dxa"/>
            <w:noWrap w:val="0"/>
            <w:vAlign w:val="center"/>
          </w:tcPr>
          <w:p w14:paraId="4A485268">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孙佳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010-88653639</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侯萌萌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010-88653592</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张少苹 </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010-88653663</w:t>
            </w:r>
          </w:p>
        </w:tc>
      </w:tr>
      <w:tr w14:paraId="13F8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112DD387">
            <w:pPr>
              <w:rPr>
                <w:rFonts w:hint="default" w:ascii="Times New Roman" w:hAnsi="Times New Roman" w:eastAsia="仿宋_GB2312" w:cs="Times New Roman"/>
                <w:sz w:val="24"/>
                <w:szCs w:val="24"/>
                <w:lang w:val="en-US" w:eastAsia="zh-CN"/>
              </w:rPr>
            </w:pPr>
          </w:p>
        </w:tc>
        <w:tc>
          <w:tcPr>
            <w:tcW w:w="2007" w:type="dxa"/>
            <w:vMerge w:val="restart"/>
            <w:noWrap w:val="0"/>
            <w:vAlign w:val="center"/>
          </w:tcPr>
          <w:p w14:paraId="7A8CD7CE">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中国企业评价协会</w:t>
            </w:r>
          </w:p>
        </w:tc>
        <w:tc>
          <w:tcPr>
            <w:tcW w:w="9130" w:type="dxa"/>
            <w:vMerge w:val="restart"/>
            <w:noWrap w:val="0"/>
            <w:vAlign w:val="center"/>
          </w:tcPr>
          <w:p w14:paraId="49CED879">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42.开展中小企业合规管理提升专项服务，组织中小企业合规管理公益培训，解读劳动用工、数据安全、反商业贿赂等常见领域合规风险及案例，并开展中小企业合规管理体系公益诊断。</w:t>
            </w:r>
          </w:p>
        </w:tc>
        <w:tc>
          <w:tcPr>
            <w:tcW w:w="1661" w:type="dxa"/>
            <w:vMerge w:val="restart"/>
            <w:noWrap w:val="0"/>
            <w:vAlign w:val="center"/>
          </w:tcPr>
          <w:p w14:paraId="40616EA1">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王鑫</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010-52932023转727</w:t>
            </w:r>
          </w:p>
        </w:tc>
      </w:tr>
      <w:tr w14:paraId="1414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5CE6AE91">
            <w:pPr>
              <w:jc w:val="center"/>
              <w:rPr>
                <w:rFonts w:hint="default" w:ascii="Times New Roman" w:hAnsi="Times New Roman" w:eastAsia="仿宋_GB2312" w:cs="Times New Roman"/>
                <w:sz w:val="24"/>
                <w:szCs w:val="24"/>
              </w:rPr>
            </w:pPr>
          </w:p>
        </w:tc>
        <w:tc>
          <w:tcPr>
            <w:tcW w:w="2007" w:type="dxa"/>
            <w:vMerge w:val="continue"/>
            <w:noWrap w:val="0"/>
            <w:vAlign w:val="center"/>
          </w:tcPr>
          <w:p w14:paraId="610F6E38">
            <w:pPr>
              <w:jc w:val="center"/>
              <w:rPr>
                <w:rFonts w:hint="default" w:ascii="Times New Roman" w:hAnsi="Times New Roman" w:eastAsia="仿宋_GB2312" w:cs="Times New Roman"/>
                <w:sz w:val="24"/>
                <w:szCs w:val="24"/>
              </w:rPr>
            </w:pPr>
          </w:p>
        </w:tc>
        <w:tc>
          <w:tcPr>
            <w:tcW w:w="9130" w:type="dxa"/>
            <w:vMerge w:val="continue"/>
            <w:noWrap w:val="0"/>
            <w:vAlign w:val="center"/>
          </w:tcPr>
          <w:p w14:paraId="2E478847">
            <w:pPr>
              <w:jc w:val="both"/>
              <w:rPr>
                <w:rFonts w:hint="default" w:ascii="Times New Roman" w:hAnsi="Times New Roman" w:eastAsia="仿宋_GB2312" w:cs="Times New Roman"/>
                <w:sz w:val="24"/>
                <w:szCs w:val="24"/>
              </w:rPr>
            </w:pPr>
          </w:p>
        </w:tc>
        <w:tc>
          <w:tcPr>
            <w:tcW w:w="1661" w:type="dxa"/>
            <w:vMerge w:val="continue"/>
            <w:noWrap w:val="0"/>
            <w:vAlign w:val="center"/>
          </w:tcPr>
          <w:p w14:paraId="25B5C2A1">
            <w:pPr>
              <w:jc w:val="center"/>
              <w:rPr>
                <w:rFonts w:hint="default" w:ascii="Times New Roman" w:hAnsi="Times New Roman" w:eastAsia="仿宋_GB2312" w:cs="Times New Roman"/>
                <w:sz w:val="24"/>
                <w:szCs w:val="24"/>
              </w:rPr>
            </w:pPr>
          </w:p>
        </w:tc>
      </w:tr>
      <w:tr w14:paraId="3B1C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51F43640">
            <w:pPr>
              <w:jc w:val="center"/>
              <w:rPr>
                <w:rFonts w:hint="default" w:ascii="Times New Roman" w:hAnsi="Times New Roman" w:eastAsia="仿宋_GB2312" w:cs="Times New Roman"/>
                <w:sz w:val="24"/>
                <w:szCs w:val="24"/>
              </w:rPr>
            </w:pPr>
          </w:p>
        </w:tc>
        <w:tc>
          <w:tcPr>
            <w:tcW w:w="2007" w:type="dxa"/>
            <w:vMerge w:val="continue"/>
            <w:noWrap w:val="0"/>
            <w:vAlign w:val="center"/>
          </w:tcPr>
          <w:p w14:paraId="093449D2">
            <w:pPr>
              <w:jc w:val="center"/>
              <w:rPr>
                <w:rFonts w:hint="default" w:ascii="Times New Roman" w:hAnsi="Times New Roman" w:eastAsia="仿宋_GB2312" w:cs="Times New Roman"/>
                <w:sz w:val="24"/>
                <w:szCs w:val="24"/>
              </w:rPr>
            </w:pPr>
          </w:p>
        </w:tc>
        <w:tc>
          <w:tcPr>
            <w:tcW w:w="9130" w:type="dxa"/>
            <w:vMerge w:val="continue"/>
            <w:noWrap w:val="0"/>
            <w:vAlign w:val="center"/>
          </w:tcPr>
          <w:p w14:paraId="3EBE5C94">
            <w:pPr>
              <w:jc w:val="both"/>
              <w:rPr>
                <w:rFonts w:hint="default" w:ascii="Times New Roman" w:hAnsi="Times New Roman" w:eastAsia="仿宋_GB2312" w:cs="Times New Roman"/>
                <w:sz w:val="24"/>
                <w:szCs w:val="24"/>
              </w:rPr>
            </w:pPr>
          </w:p>
        </w:tc>
        <w:tc>
          <w:tcPr>
            <w:tcW w:w="1661" w:type="dxa"/>
            <w:vMerge w:val="continue"/>
            <w:noWrap w:val="0"/>
            <w:vAlign w:val="center"/>
          </w:tcPr>
          <w:p w14:paraId="281E35F2">
            <w:pPr>
              <w:jc w:val="center"/>
              <w:rPr>
                <w:rFonts w:hint="default" w:ascii="Times New Roman" w:hAnsi="Times New Roman" w:eastAsia="仿宋_GB2312" w:cs="Times New Roman"/>
                <w:sz w:val="24"/>
                <w:szCs w:val="24"/>
              </w:rPr>
            </w:pPr>
          </w:p>
        </w:tc>
      </w:tr>
      <w:tr w14:paraId="168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375" w:type="dxa"/>
            <w:vMerge w:val="continue"/>
            <w:noWrap w:val="0"/>
            <w:vAlign w:val="center"/>
          </w:tcPr>
          <w:p w14:paraId="05A1941F">
            <w:pPr>
              <w:jc w:val="center"/>
              <w:rPr>
                <w:rFonts w:hint="default" w:ascii="Times New Roman" w:hAnsi="Times New Roman" w:eastAsia="仿宋_GB2312" w:cs="Times New Roman"/>
                <w:sz w:val="24"/>
                <w:szCs w:val="24"/>
              </w:rPr>
            </w:pPr>
          </w:p>
        </w:tc>
        <w:tc>
          <w:tcPr>
            <w:tcW w:w="2007" w:type="dxa"/>
            <w:vMerge w:val="continue"/>
            <w:noWrap w:val="0"/>
            <w:vAlign w:val="center"/>
          </w:tcPr>
          <w:p w14:paraId="58E22647">
            <w:pPr>
              <w:jc w:val="center"/>
              <w:rPr>
                <w:rFonts w:hint="default" w:ascii="Times New Roman" w:hAnsi="Times New Roman" w:eastAsia="仿宋_GB2312" w:cs="Times New Roman"/>
                <w:sz w:val="24"/>
                <w:szCs w:val="24"/>
              </w:rPr>
            </w:pPr>
          </w:p>
        </w:tc>
        <w:tc>
          <w:tcPr>
            <w:tcW w:w="9130" w:type="dxa"/>
            <w:vMerge w:val="continue"/>
            <w:noWrap w:val="0"/>
            <w:vAlign w:val="center"/>
          </w:tcPr>
          <w:p w14:paraId="1B403E29">
            <w:pPr>
              <w:jc w:val="both"/>
              <w:rPr>
                <w:rFonts w:hint="default" w:ascii="Times New Roman" w:hAnsi="Times New Roman" w:eastAsia="仿宋_GB2312" w:cs="Times New Roman"/>
                <w:sz w:val="24"/>
                <w:szCs w:val="24"/>
              </w:rPr>
            </w:pPr>
          </w:p>
        </w:tc>
        <w:tc>
          <w:tcPr>
            <w:tcW w:w="1661" w:type="dxa"/>
            <w:vMerge w:val="continue"/>
            <w:noWrap w:val="0"/>
            <w:vAlign w:val="center"/>
          </w:tcPr>
          <w:p w14:paraId="565C95E5">
            <w:pPr>
              <w:jc w:val="center"/>
              <w:rPr>
                <w:rFonts w:hint="default" w:ascii="Times New Roman" w:hAnsi="Times New Roman" w:eastAsia="仿宋_GB2312" w:cs="Times New Roman"/>
                <w:sz w:val="24"/>
                <w:szCs w:val="24"/>
              </w:rPr>
            </w:pPr>
          </w:p>
        </w:tc>
      </w:tr>
    </w:tbl>
    <w:p w14:paraId="2D67B0DB"/>
    <w:sectPr>
      <w:headerReference r:id="rId3" w:type="default"/>
      <w:footerReference r:id="rId4" w:type="default"/>
      <w:pgSz w:w="16838" w:h="11906" w:orient="landscape"/>
      <w:pgMar w:top="1440" w:right="1800" w:bottom="1134" w:left="1800" w:header="851" w:footer="850"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Witcher Knight"/>
    <w:panose1 w:val="020B0603030804020204"/>
    <w:charset w:val="00"/>
    <w:family w:val="roman"/>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tcher Knight">
    <w:panose1 w:val="020006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A70F4">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D6770BD">
                <w:pPr>
                  <w:pStyle w:val="2"/>
                  <w:rPr>
                    <w:rFonts w:hint="default" w:ascii="Times New Roman" w:hAnsi="Times New Roman" w:eastAsia="宋体" w:cs="Times New Roman"/>
                    <w:sz w:val="28"/>
                    <w:szCs w:val="44"/>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437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ECE4AF"/>
    <w:rsid w:val="037E8CDE"/>
    <w:rsid w:val="1FAB92E5"/>
    <w:rsid w:val="1FD56599"/>
    <w:rsid w:val="1FECE4AF"/>
    <w:rsid w:val="2F7FAAD8"/>
    <w:rsid w:val="3ABDF79E"/>
    <w:rsid w:val="3CE342AB"/>
    <w:rsid w:val="3F1F7698"/>
    <w:rsid w:val="4EC73426"/>
    <w:rsid w:val="553F7ABA"/>
    <w:rsid w:val="5ADE4A33"/>
    <w:rsid w:val="5BDB9423"/>
    <w:rsid w:val="5DE7D556"/>
    <w:rsid w:val="5F391A03"/>
    <w:rsid w:val="5F5F4D3D"/>
    <w:rsid w:val="5F6E0EAE"/>
    <w:rsid w:val="5FFFB02E"/>
    <w:rsid w:val="67FF355A"/>
    <w:rsid w:val="6EC5260F"/>
    <w:rsid w:val="6FF5AF92"/>
    <w:rsid w:val="6FF7C44F"/>
    <w:rsid w:val="73A702E6"/>
    <w:rsid w:val="76FBD206"/>
    <w:rsid w:val="77FB44FF"/>
    <w:rsid w:val="78FA8BB4"/>
    <w:rsid w:val="79CE3E79"/>
    <w:rsid w:val="7B7DD59D"/>
    <w:rsid w:val="7DA90337"/>
    <w:rsid w:val="7EFF9419"/>
    <w:rsid w:val="7FDEA1D8"/>
    <w:rsid w:val="7FFF43E4"/>
    <w:rsid w:val="9ADE9F9C"/>
    <w:rsid w:val="9EBD16DC"/>
    <w:rsid w:val="9FFF1BA9"/>
    <w:rsid w:val="AFF95D54"/>
    <w:rsid w:val="BB7D7A48"/>
    <w:rsid w:val="BEB34727"/>
    <w:rsid w:val="BF7BE3E1"/>
    <w:rsid w:val="BFEF8344"/>
    <w:rsid w:val="BFF7955D"/>
    <w:rsid w:val="D97BB913"/>
    <w:rsid w:val="DEF59EA9"/>
    <w:rsid w:val="EFFF8634"/>
    <w:rsid w:val="F33FD4C1"/>
    <w:rsid w:val="F9DA5F21"/>
    <w:rsid w:val="FAF3B04F"/>
    <w:rsid w:val="FBFF831E"/>
    <w:rsid w:val="FC3D2AB3"/>
    <w:rsid w:val="FD8B8348"/>
    <w:rsid w:val="FDF9F481"/>
    <w:rsid w:val="FDFDCCEE"/>
    <w:rsid w:val="FE3DD691"/>
    <w:rsid w:val="FEF9A76C"/>
    <w:rsid w:val="FF37184F"/>
    <w:rsid w:val="FF6FC9CF"/>
    <w:rsid w:val="FFD91AEE"/>
    <w:rsid w:val="FFF91E2E"/>
    <w:rsid w:val="FFFE8CD3"/>
    <w:rsid w:val="FFFEE7D8"/>
    <w:rsid w:val="FFFF336E"/>
    <w:rsid w:val="FFFFD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customStyle="1" w:styleId="6">
    <w:name w:val="font01"/>
    <w:basedOn w:val="5"/>
    <w:uiPriority w:val="0"/>
    <w:rPr>
      <w:rFonts w:hint="eastAsia" w:ascii="仿宋_GB2312" w:eastAsia="仿宋_GB2312" w:cs="仿宋_GB2312"/>
      <w:color w:val="000000"/>
      <w:sz w:val="28"/>
      <w:szCs w:val="28"/>
      <w:u w:val="none"/>
    </w:rPr>
  </w:style>
  <w:style w:type="character" w:customStyle="1" w:styleId="7">
    <w:name w:val="font51"/>
    <w:basedOn w:val="5"/>
    <w:uiPriority w:val="0"/>
    <w:rPr>
      <w:rFonts w:hint="eastAsia" w:ascii="黑体" w:hAnsi="宋体" w:eastAsia="黑体" w:cs="黑体"/>
      <w:color w:val="000000"/>
      <w:sz w:val="28"/>
      <w:szCs w:val="28"/>
      <w:u w:val="none"/>
    </w:rPr>
  </w:style>
  <w:style w:type="character" w:customStyle="1" w:styleId="8">
    <w:name w:val="font121"/>
    <w:basedOn w:val="5"/>
    <w:uiPriority w:val="0"/>
    <w:rPr>
      <w:rFonts w:hint="default" w:ascii="Times New Roman" w:hAnsi="Times New Roman" w:cs="Times New Roman"/>
      <w:color w:val="000000"/>
      <w:sz w:val="28"/>
      <w:szCs w:val="28"/>
      <w:u w:val="none"/>
    </w:rPr>
  </w:style>
  <w:style w:type="character" w:customStyle="1" w:styleId="9">
    <w:name w:val="font131"/>
    <w:basedOn w:val="5"/>
    <w:uiPriority w:val="0"/>
    <w:rPr>
      <w:rFonts w:hint="default" w:ascii="Times New Roman" w:hAnsi="Times New Roman" w:cs="Times New Roman"/>
      <w:color w:val="000000"/>
      <w:sz w:val="28"/>
      <w:szCs w:val="28"/>
      <w:u w:val="none"/>
    </w:rPr>
  </w:style>
  <w:style w:type="character" w:customStyle="1" w:styleId="10">
    <w:name w:val="font31"/>
    <w:basedOn w:val="5"/>
    <w:uiPriority w:val="0"/>
    <w:rPr>
      <w:rFonts w:hint="eastAsia" w:ascii="仿宋_GB2312" w:eastAsia="仿宋_GB2312" w:cs="仿宋_GB2312"/>
      <w:color w:val="000000"/>
      <w:sz w:val="28"/>
      <w:szCs w:val="28"/>
      <w:u w:val="none"/>
    </w:rPr>
  </w:style>
  <w:style w:type="character" w:customStyle="1" w:styleId="11">
    <w:name w:val="font151"/>
    <w:basedOn w:val="5"/>
    <w:uiPriority w:val="0"/>
    <w:rPr>
      <w:rFonts w:ascii="仿宋_GB2312" w:eastAsia="仿宋_GB2312" w:cs="仿宋_GB2312"/>
      <w:color w:val="000000"/>
      <w:sz w:val="28"/>
      <w:szCs w:val="28"/>
      <w:u w:val="none"/>
    </w:rPr>
  </w:style>
  <w:style w:type="character" w:customStyle="1" w:styleId="12">
    <w:name w:val="font21"/>
    <w:basedOn w:val="5"/>
    <w:uiPriority w:val="0"/>
    <w:rPr>
      <w:rFonts w:hint="eastAsia" w:ascii="仿宋_GB2312" w:eastAsia="仿宋_GB2312" w:cs="仿宋_GB2312"/>
      <w:color w:val="000000"/>
      <w:sz w:val="28"/>
      <w:szCs w:val="28"/>
      <w:u w:val="none"/>
    </w:rPr>
  </w:style>
  <w:style w:type="character" w:customStyle="1" w:styleId="13">
    <w:name w:val="font11"/>
    <w:basedOn w:val="5"/>
    <w:uiPriority w:val="0"/>
    <w:rPr>
      <w:rFonts w:hint="eastAsia" w:ascii="宋体" w:hAnsi="宋体" w:eastAsia="宋体" w:cs="宋体"/>
      <w:color w:val="000000"/>
      <w:sz w:val="28"/>
      <w:szCs w:val="28"/>
      <w:u w:val="none"/>
    </w:rPr>
  </w:style>
  <w:style w:type="character" w:customStyle="1" w:styleId="14">
    <w:name w:val="font81"/>
    <w:basedOn w:val="5"/>
    <w:uiPriority w:val="0"/>
    <w:rPr>
      <w:rFonts w:hint="eastAsia" w:ascii="仿宋_GB2312" w:eastAsia="仿宋_GB2312" w:cs="仿宋_GB2312"/>
      <w:color w:val="000000"/>
      <w:sz w:val="28"/>
      <w:szCs w:val="28"/>
      <w:u w:val="none"/>
    </w:rPr>
  </w:style>
  <w:style w:type="character" w:customStyle="1" w:styleId="15">
    <w:name w:val="font71"/>
    <w:basedOn w:val="5"/>
    <w:uiPriority w:val="0"/>
    <w:rPr>
      <w:rFonts w:hint="default" w:ascii="Times New Roman" w:hAnsi="Times New Roman" w:cs="Times New Roman"/>
      <w:color w:val="000000"/>
      <w:sz w:val="28"/>
      <w:szCs w:val="28"/>
      <w:u w:val="none"/>
    </w:rPr>
  </w:style>
  <w:style w:type="character" w:customStyle="1" w:styleId="16">
    <w:name w:val="font41"/>
    <w:basedOn w:val="5"/>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3.66666666666667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2025-05-28T10:12:00Z</dcterms:created>
  <dc:creator>赵晨宇</dc:creator>
  <cp:lastModifiedBy>緈冨！伊始！</cp:lastModifiedBy>
  <dcterms:modified xsi:type="dcterms:W3CDTF">2025-06-04T01:39:11Z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hmcheck_markmode">
    <vt:r8>0</vt:r8>
  </property>
  <property fmtid="{D5CDD505-2E9C-101B-9397-08002B2CF9AE}" pid="4" name="hmcheck_taskpanetype">
    <vt:r8>1</vt:r8>
  </property>
  <property fmtid="{D5CDD505-2E9C-101B-9397-08002B2CF9AE}" pid="5" name="ICV">
    <vt:lpwstr>C592883485734FAA8B3D215DF226A2C9_13</vt:lpwstr>
  </property>
</Properties>
</file>